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0EACC" w14:textId="18502E0A" w:rsidR="00442388" w:rsidRDefault="00442388" w:rsidP="00C7748C">
      <w:pPr>
        <w:tabs>
          <w:tab w:val="center" w:pos="4252"/>
          <w:tab w:val="right" w:pos="8504"/>
        </w:tabs>
        <w:spacing w:after="120" w:line="240" w:lineRule="auto"/>
        <w:ind w:right="21"/>
        <w:jc w:val="center"/>
        <w:rPr>
          <w:rFonts w:ascii="Verdana" w:eastAsia="Times New Roman" w:hAnsi="Verdana" w:cs="Arial"/>
          <w:b/>
          <w:lang w:val="es-ES" w:eastAsia="es-ES"/>
        </w:rPr>
      </w:pPr>
      <w:r w:rsidRPr="00442388">
        <w:rPr>
          <w:rFonts w:ascii="Verdana" w:eastAsia="Times New Roman" w:hAnsi="Verdana" w:cs="Arial"/>
          <w:b/>
          <w:lang w:val="es-ES" w:eastAsia="es-ES"/>
        </w:rPr>
        <w:t>DOCUMENTO TÉCNICO DE SOPORTE (ANEXO “S” MEMORIA JUSTIFICATIVA)</w:t>
      </w:r>
      <w:r w:rsidR="00FE7A6F">
        <w:rPr>
          <w:rFonts w:ascii="Verdana" w:eastAsia="Times New Roman" w:hAnsi="Verdana" w:cs="Arial"/>
          <w:b/>
          <w:lang w:val="es-ES" w:eastAsia="es-ES"/>
        </w:rPr>
        <w:t xml:space="preserve"> DEL PROYECTO DE RESOLUCIÓN DEL ROE</w:t>
      </w:r>
    </w:p>
    <w:p w14:paraId="40376D12" w14:textId="4AB46C10" w:rsidR="00F71C67" w:rsidRPr="00BC675C" w:rsidRDefault="00F71C67" w:rsidP="00F71C67">
      <w:pPr>
        <w:pStyle w:val="Ttulo1"/>
        <w:jc w:val="both"/>
        <w:rPr>
          <w:rFonts w:ascii="Verdana" w:hAnsi="Verdana"/>
          <w:b/>
          <w:bCs/>
          <w:sz w:val="22"/>
          <w:szCs w:val="22"/>
          <w:lang w:val="es-419"/>
        </w:rPr>
      </w:pPr>
      <w:r w:rsidRPr="00BC675C">
        <w:rPr>
          <w:rFonts w:ascii="Verdana" w:hAnsi="Verdana"/>
          <w:b/>
          <w:bCs/>
          <w:sz w:val="22"/>
          <w:szCs w:val="22"/>
          <w:lang w:val="es-419"/>
        </w:rPr>
        <w:t xml:space="preserve">1. </w:t>
      </w:r>
      <w:r w:rsidR="00AC73F2">
        <w:rPr>
          <w:rFonts w:ascii="Verdana" w:hAnsi="Verdana"/>
          <w:b/>
          <w:bCs/>
          <w:sz w:val="22"/>
          <w:szCs w:val="22"/>
          <w:lang w:val="es-419"/>
        </w:rPr>
        <w:t>Introducción</w:t>
      </w:r>
    </w:p>
    <w:p w14:paraId="2323E163" w14:textId="29758287" w:rsidR="000D3537" w:rsidRPr="000D3537" w:rsidRDefault="000D3537" w:rsidP="00037140">
      <w:pPr>
        <w:jc w:val="both"/>
        <w:rPr>
          <w:rFonts w:ascii="Verdana" w:hAnsi="Verdana" w:cs="Helvetica-Light"/>
          <w:kern w:val="0"/>
        </w:rPr>
      </w:pPr>
      <w:r w:rsidRPr="000D3537">
        <w:rPr>
          <w:rFonts w:ascii="Verdana" w:hAnsi="Verdana" w:cs="Helvetica-Light"/>
          <w:kern w:val="0"/>
        </w:rPr>
        <w:t>El presente Documento Técnico de Soporte</w:t>
      </w:r>
      <w:r w:rsidR="00616175">
        <w:rPr>
          <w:rFonts w:ascii="Verdana" w:hAnsi="Verdana" w:cs="Helvetica-Light"/>
          <w:kern w:val="0"/>
        </w:rPr>
        <w:t xml:space="preserve"> (</w:t>
      </w:r>
      <w:r w:rsidRPr="000D3537">
        <w:rPr>
          <w:rFonts w:ascii="Verdana" w:hAnsi="Verdana" w:cs="Helvetica-Light"/>
          <w:kern w:val="0"/>
        </w:rPr>
        <w:t xml:space="preserve">Anexo </w:t>
      </w:r>
      <w:r w:rsidR="003871B8">
        <w:rPr>
          <w:rFonts w:ascii="Verdana" w:hAnsi="Verdana" w:cs="Helvetica-Light"/>
          <w:kern w:val="0"/>
        </w:rPr>
        <w:t>“</w:t>
      </w:r>
      <w:r w:rsidRPr="000D3537">
        <w:rPr>
          <w:rFonts w:ascii="Verdana" w:hAnsi="Verdana" w:cs="Helvetica-Light"/>
          <w:kern w:val="0"/>
        </w:rPr>
        <w:t>S</w:t>
      </w:r>
      <w:r w:rsidR="003871B8">
        <w:rPr>
          <w:rFonts w:ascii="Verdana" w:hAnsi="Verdana" w:cs="Helvetica-Light"/>
          <w:kern w:val="0"/>
        </w:rPr>
        <w:t>”</w:t>
      </w:r>
      <w:r w:rsidR="00616175">
        <w:rPr>
          <w:rFonts w:ascii="Verdana" w:hAnsi="Verdana" w:cs="Helvetica-Light"/>
          <w:kern w:val="0"/>
        </w:rPr>
        <w:t>)</w:t>
      </w:r>
      <w:r w:rsidRPr="000D3537">
        <w:rPr>
          <w:rFonts w:ascii="Verdana" w:hAnsi="Verdana" w:cs="Helvetica-Light"/>
          <w:kern w:val="0"/>
        </w:rPr>
        <w:t xml:space="preserve"> tiene por objeto sustentar, desde un enfoque técnico y metodológico, las decisiones adoptadas en el proyecto de resolución “</w:t>
      </w:r>
      <w:r w:rsidR="008C06E0" w:rsidRPr="008C06E0">
        <w:rPr>
          <w:rFonts w:ascii="Verdana" w:hAnsi="Verdana" w:cs="Helvetica-Light"/>
          <w:kern w:val="0"/>
        </w:rPr>
        <w:t>Por la cual se reglamenta el Reporte Obligatorio de Emisiones de Gases de Efecto Invernadero (ROE), se adoptan el Protocolo de Cuantificación y Reporte de emisiones del ROE, la Guía Técnica de la Plataforma ROE y se dictan otras disposiciones</w:t>
      </w:r>
      <w:r w:rsidRPr="000D3537">
        <w:rPr>
          <w:rFonts w:ascii="Verdana" w:hAnsi="Verdana" w:cs="Helvetica-Light"/>
          <w:kern w:val="0"/>
        </w:rPr>
        <w:t>”, en cumplimiento de lo dispuesto en el artículo 16 de la Ley 2169 de 2021. En este sentido, el documento desarrolla la justificación de los principales elementos estructurales del diseño del ROE, incluyendo los criterios para la determinación de los sujetos obligados, los enfoques metodológicos para la cuantificación y consolidación de emisiones, los esquemas de reporte y verificación, así como las condiciones para su implementación progresiva.</w:t>
      </w:r>
    </w:p>
    <w:p w14:paraId="306350BD" w14:textId="3FEAA2CC" w:rsidR="000D3537" w:rsidRPr="000D3537" w:rsidRDefault="000D3537" w:rsidP="00037140">
      <w:pPr>
        <w:jc w:val="both"/>
        <w:rPr>
          <w:rFonts w:ascii="Verdana" w:hAnsi="Verdana" w:cs="Helvetica-Light"/>
          <w:kern w:val="0"/>
        </w:rPr>
      </w:pPr>
      <w:r w:rsidRPr="00AA6C4A">
        <w:rPr>
          <w:rFonts w:ascii="Verdana" w:hAnsi="Verdana" w:cs="Helvetica-Light"/>
          <w:kern w:val="0"/>
        </w:rPr>
        <w:t xml:space="preserve">El alcance del presente Anexo se circunscribe a la fundamentación técnica de los elementos regulatorios definidos en el proyecto normativo, con especial énfasis en aquellas decisiones que implican la adopción de </w:t>
      </w:r>
      <w:r w:rsidR="004303BC">
        <w:rPr>
          <w:rFonts w:ascii="Verdana" w:hAnsi="Verdana" w:cs="Helvetica-Light"/>
          <w:kern w:val="0"/>
        </w:rPr>
        <w:t xml:space="preserve">métodos, </w:t>
      </w:r>
      <w:r w:rsidR="008C06E0">
        <w:rPr>
          <w:rFonts w:ascii="Verdana" w:hAnsi="Verdana" w:cs="Helvetica-Light"/>
          <w:kern w:val="0"/>
        </w:rPr>
        <w:t xml:space="preserve">instrumentos, procesos y periodicidad de las emisiones de GEI </w:t>
      </w:r>
      <w:r w:rsidRPr="00AA6C4A">
        <w:rPr>
          <w:rFonts w:ascii="Verdana" w:hAnsi="Verdana" w:cs="Helvetica-Light"/>
          <w:kern w:val="0"/>
        </w:rPr>
        <w:t xml:space="preserve">necesarios para garantizar la consistencia, comparabilidad, calidad y utilidad de la información reportada. </w:t>
      </w:r>
      <w:r w:rsidR="00D52F34" w:rsidRPr="00AA6C4A">
        <w:rPr>
          <w:rFonts w:ascii="Verdana" w:hAnsi="Verdana" w:cs="Helvetica-Light"/>
          <w:kern w:val="0"/>
        </w:rPr>
        <w:t>En particular, se abordan aspectos como el enfoque de consolidación de emisiones bajo control operacional, el nivel de emisiones definido para la determinación de la obligación de reporte, el esquema de gradualidad en la implementación del instrumento, la adopción de un protocolo de cuantificación y reporte</w:t>
      </w:r>
      <w:r w:rsidR="00F05468">
        <w:rPr>
          <w:rFonts w:ascii="Verdana" w:hAnsi="Verdana" w:cs="Helvetica-Light"/>
          <w:kern w:val="0"/>
        </w:rPr>
        <w:t xml:space="preserve"> (</w:t>
      </w:r>
      <w:r w:rsidR="00A771F2">
        <w:rPr>
          <w:rFonts w:ascii="Verdana" w:hAnsi="Verdana" w:cs="Helvetica-Light"/>
          <w:kern w:val="0"/>
        </w:rPr>
        <w:t>Protocolo ROE)</w:t>
      </w:r>
      <w:r w:rsidR="00D52F34" w:rsidRPr="00AA6C4A">
        <w:rPr>
          <w:rFonts w:ascii="Verdana" w:hAnsi="Verdana" w:cs="Helvetica-Light"/>
          <w:kern w:val="0"/>
        </w:rPr>
        <w:t xml:space="preserve">, </w:t>
      </w:r>
      <w:r w:rsidR="00942B8E" w:rsidRPr="00AA6C4A">
        <w:rPr>
          <w:rFonts w:ascii="Verdana" w:hAnsi="Verdana" w:cs="Helvetica-Light"/>
          <w:kern w:val="0"/>
        </w:rPr>
        <w:t xml:space="preserve">la </w:t>
      </w:r>
      <w:r w:rsidR="00D52F34" w:rsidRPr="00AA6C4A">
        <w:rPr>
          <w:rFonts w:ascii="Verdana" w:hAnsi="Verdana" w:cs="Helvetica-Light"/>
          <w:kern w:val="0"/>
        </w:rPr>
        <w:t>exclusión de determinados sujetos</w:t>
      </w:r>
      <w:r w:rsidR="00AA6C4A" w:rsidRPr="00AA6C4A">
        <w:rPr>
          <w:rFonts w:ascii="Verdana" w:hAnsi="Verdana" w:cs="Helvetica-Light"/>
          <w:kern w:val="0"/>
        </w:rPr>
        <w:t>, entre otros</w:t>
      </w:r>
      <w:r w:rsidR="00D52F34" w:rsidRPr="00AA6C4A">
        <w:rPr>
          <w:rFonts w:ascii="Verdana" w:hAnsi="Verdana" w:cs="Helvetica-Light"/>
          <w:kern w:val="0"/>
        </w:rPr>
        <w:t>.</w:t>
      </w:r>
    </w:p>
    <w:p w14:paraId="30C286AE" w14:textId="6A02181F" w:rsidR="001C5A76" w:rsidRPr="001C5A76" w:rsidRDefault="000A6BB2" w:rsidP="000A6BB2">
      <w:pPr>
        <w:jc w:val="both"/>
      </w:pPr>
      <w:r w:rsidRPr="000A6BB2">
        <w:rPr>
          <w:rFonts w:ascii="Verdana" w:hAnsi="Verdana" w:cs="Helvetica-Light"/>
          <w:kern w:val="0"/>
        </w:rPr>
        <w:t xml:space="preserve">El presente documento se integra como anexo de la Memoria Justificativa del proyecto normativo y la complementa desde una perspectiva técnica, sin sustituir ni duplicar su contenido. Mientras la Memoria Justificativa desarrolla los antecedentes, la oportunidad, la conveniencia y la viabilidad jurídica de la regulación, el Anexo S profundiza en la justificación técnica de las </w:t>
      </w:r>
      <w:r w:rsidR="009E31A6">
        <w:rPr>
          <w:rFonts w:ascii="Verdana" w:hAnsi="Verdana" w:cs="Helvetica-Light"/>
          <w:kern w:val="0"/>
        </w:rPr>
        <w:t xml:space="preserve">principales </w:t>
      </w:r>
      <w:r w:rsidRPr="000A6BB2">
        <w:rPr>
          <w:rFonts w:ascii="Verdana" w:hAnsi="Verdana" w:cs="Helvetica-Light"/>
          <w:kern w:val="0"/>
        </w:rPr>
        <w:t>decisiones regulatorias adoptadas, particularmente en aquellos aspectos que requieren un mayor nivel de detalle metodológico para su adecuada comprensión y evaluación. En conjunto, ambos documentos constituyen el soporte integral del instrumento normativo, garantizando su solidez técnica, jurídica e institucional.</w:t>
      </w:r>
    </w:p>
    <w:p w14:paraId="123DA14F" w14:textId="77F59FF2" w:rsidR="007E2249" w:rsidRDefault="007E2249" w:rsidP="002020A8">
      <w:pPr>
        <w:pStyle w:val="Ttulo1"/>
        <w:jc w:val="both"/>
        <w:rPr>
          <w:rFonts w:ascii="Verdana" w:hAnsi="Verdana"/>
          <w:b/>
          <w:bCs/>
          <w:sz w:val="22"/>
          <w:szCs w:val="22"/>
          <w:lang w:val="es-419"/>
        </w:rPr>
      </w:pPr>
      <w:r w:rsidRPr="007E2249">
        <w:rPr>
          <w:rFonts w:ascii="Verdana" w:hAnsi="Verdana"/>
          <w:b/>
          <w:bCs/>
          <w:sz w:val="22"/>
          <w:szCs w:val="22"/>
          <w:lang w:val="es-419"/>
        </w:rPr>
        <w:lastRenderedPageBreak/>
        <w:t xml:space="preserve">2. </w:t>
      </w:r>
      <w:r w:rsidR="00273B3F" w:rsidRPr="00273B3F">
        <w:rPr>
          <w:rFonts w:ascii="Verdana" w:hAnsi="Verdana"/>
          <w:b/>
          <w:bCs/>
          <w:sz w:val="22"/>
          <w:szCs w:val="22"/>
          <w:lang w:val="es-419"/>
        </w:rPr>
        <w:t>Enfoque técnico del diseño del Reporte Obligatorio de Emisiones de GEI (ROE)</w:t>
      </w:r>
    </w:p>
    <w:p w14:paraId="63B6154F" w14:textId="371DAA90" w:rsidR="002358FA" w:rsidRDefault="00BD32BC" w:rsidP="002358FA">
      <w:pPr>
        <w:spacing w:after="120" w:line="240" w:lineRule="auto"/>
        <w:jc w:val="both"/>
        <w:rPr>
          <w:rFonts w:ascii="Verdana" w:hAnsi="Verdana" w:cs="Helvetica-Light"/>
          <w:kern w:val="0"/>
        </w:rPr>
      </w:pPr>
      <w:r w:rsidRPr="00150A53">
        <w:rPr>
          <w:rFonts w:ascii="Verdana" w:hAnsi="Verdana" w:cs="Helvetica-Light"/>
          <w:kern w:val="0"/>
        </w:rPr>
        <w:t xml:space="preserve">El diseño del Reporte Obligatorio de Emisiones de Gases de Efecto Invernadero (ROE) se fundamenta en un enfoque técnico orientado a garantizar la generación de información estandarizada, consistente, verificable y comparable sobre las emisiones de GEI de las personas jurídicas públicas, privadas o mixtas obligadas a nivel organizacional, en coherencia con las necesidades de gestión del cambio climático a nivel nacional. </w:t>
      </w:r>
      <w:r w:rsidR="002358FA" w:rsidRPr="002358FA">
        <w:rPr>
          <w:rFonts w:ascii="Verdana" w:hAnsi="Verdana" w:cs="Helvetica-Light"/>
          <w:kern w:val="0"/>
        </w:rPr>
        <w:t>En este sentido, el ROE se concibe como un instrumento que permite fortalecer los sistemas de Monitoreo, Reporte y Verificación (MRV), mediante la recopilación sistemática de información desde las fuentes de emisión, bajo criterios metodológicos homogéneos y alineados con estándares internacionales</w:t>
      </w:r>
      <w:r w:rsidR="00373DDE">
        <w:rPr>
          <w:rFonts w:ascii="Verdana" w:hAnsi="Verdana" w:cs="Helvetica-Light"/>
          <w:kern w:val="0"/>
        </w:rPr>
        <w:t xml:space="preserve"> y con los requerimientos normativos nacionales</w:t>
      </w:r>
      <w:r w:rsidR="0011600D">
        <w:rPr>
          <w:rFonts w:ascii="Verdana" w:hAnsi="Verdana" w:cs="Helvetica-Light"/>
          <w:kern w:val="0"/>
        </w:rPr>
        <w:t xml:space="preserve"> aplicables</w:t>
      </w:r>
      <w:r w:rsidR="001400F0">
        <w:rPr>
          <w:rFonts w:ascii="Verdana" w:hAnsi="Verdana" w:cs="Helvetica-Light"/>
          <w:kern w:val="0"/>
        </w:rPr>
        <w:t xml:space="preserve">, aportando </w:t>
      </w:r>
      <w:r w:rsidR="00516485">
        <w:rPr>
          <w:rFonts w:ascii="Verdana" w:hAnsi="Verdana" w:cs="Helvetica-Light"/>
          <w:kern w:val="0"/>
        </w:rPr>
        <w:t xml:space="preserve">al fortalecimiento </w:t>
      </w:r>
      <w:r w:rsidR="0053472D">
        <w:rPr>
          <w:rFonts w:ascii="Verdana" w:hAnsi="Verdana" w:cs="Helvetica-Light"/>
          <w:kern w:val="0"/>
        </w:rPr>
        <w:t xml:space="preserve">de los </w:t>
      </w:r>
      <w:r w:rsidR="001400F0">
        <w:rPr>
          <w:rFonts w:ascii="Verdana" w:hAnsi="Verdana" w:cs="Helvetica-Light"/>
          <w:kern w:val="0"/>
        </w:rPr>
        <w:t xml:space="preserve">medios </w:t>
      </w:r>
      <w:r w:rsidR="0053472D">
        <w:rPr>
          <w:rFonts w:ascii="Verdana" w:hAnsi="Verdana" w:cs="Helvetica-Light"/>
          <w:kern w:val="0"/>
        </w:rPr>
        <w:t>habili</w:t>
      </w:r>
      <w:r w:rsidR="00442B1F">
        <w:rPr>
          <w:rFonts w:ascii="Verdana" w:hAnsi="Verdana" w:cs="Helvetica-Light"/>
          <w:kern w:val="0"/>
        </w:rPr>
        <w:t xml:space="preserve">tantes para la </w:t>
      </w:r>
      <w:r w:rsidR="001400F0">
        <w:rPr>
          <w:rFonts w:ascii="Verdana" w:hAnsi="Verdana" w:cs="Helvetica-Light"/>
          <w:kern w:val="0"/>
        </w:rPr>
        <w:t>implementación</w:t>
      </w:r>
      <w:r w:rsidR="00442B1F">
        <w:rPr>
          <w:rFonts w:ascii="Verdana" w:hAnsi="Verdana" w:cs="Helvetica-Light"/>
          <w:kern w:val="0"/>
        </w:rPr>
        <w:t xml:space="preserve"> y seguimiento de l</w:t>
      </w:r>
      <w:r w:rsidR="001400F0">
        <w:rPr>
          <w:rFonts w:ascii="Verdana" w:hAnsi="Verdana" w:cs="Helvetica-Light"/>
          <w:kern w:val="0"/>
        </w:rPr>
        <w:t xml:space="preserve">os compromisos </w:t>
      </w:r>
      <w:r w:rsidR="00E6501F">
        <w:rPr>
          <w:rFonts w:ascii="Verdana" w:hAnsi="Verdana" w:cs="Helvetica-Light"/>
          <w:kern w:val="0"/>
        </w:rPr>
        <w:t xml:space="preserve">climáticos </w:t>
      </w:r>
      <w:r w:rsidR="00C21686">
        <w:rPr>
          <w:rFonts w:ascii="Verdana" w:hAnsi="Verdana" w:cs="Helvetica-Light"/>
          <w:kern w:val="0"/>
        </w:rPr>
        <w:t xml:space="preserve">del </w:t>
      </w:r>
      <w:r w:rsidR="000122AE">
        <w:rPr>
          <w:rFonts w:ascii="Verdana" w:hAnsi="Verdana" w:cs="Helvetica-Light"/>
          <w:kern w:val="0"/>
        </w:rPr>
        <w:t>país</w:t>
      </w:r>
      <w:r w:rsidR="0050652A">
        <w:rPr>
          <w:rFonts w:ascii="Verdana" w:hAnsi="Verdana" w:cs="Helvetica-Light"/>
          <w:kern w:val="0"/>
        </w:rPr>
        <w:t xml:space="preserve"> (NDC 3.0)</w:t>
      </w:r>
      <w:r w:rsidR="000122AE">
        <w:rPr>
          <w:rFonts w:ascii="Verdana" w:hAnsi="Verdana" w:cs="Helvetica-Light"/>
          <w:kern w:val="0"/>
        </w:rPr>
        <w:t xml:space="preserve">, </w:t>
      </w:r>
      <w:r w:rsidR="006F7D66">
        <w:rPr>
          <w:rFonts w:ascii="Verdana" w:hAnsi="Verdana" w:cs="Helvetica-Light"/>
          <w:kern w:val="0"/>
        </w:rPr>
        <w:t>p</w:t>
      </w:r>
      <w:r w:rsidR="006F7D66" w:rsidRPr="006F7D66">
        <w:rPr>
          <w:rFonts w:ascii="Verdana" w:hAnsi="Verdana" w:cs="Helvetica-Light"/>
          <w:kern w:val="0"/>
        </w:rPr>
        <w:t>articularmente en materia de transparencia climática</w:t>
      </w:r>
      <w:r w:rsidR="002358FA" w:rsidRPr="002358FA">
        <w:rPr>
          <w:rFonts w:ascii="Verdana" w:hAnsi="Verdana" w:cs="Helvetica-Light"/>
          <w:kern w:val="0"/>
        </w:rPr>
        <w:t>.</w:t>
      </w:r>
    </w:p>
    <w:p w14:paraId="0179F83F" w14:textId="6D82FC74" w:rsidR="002358FA" w:rsidRPr="002358FA" w:rsidRDefault="002358FA" w:rsidP="002358FA">
      <w:pPr>
        <w:spacing w:after="120" w:line="240" w:lineRule="auto"/>
        <w:jc w:val="both"/>
        <w:rPr>
          <w:rFonts w:ascii="Verdana" w:hAnsi="Verdana" w:cs="Helvetica-Light"/>
          <w:kern w:val="0"/>
        </w:rPr>
      </w:pPr>
      <w:r w:rsidRPr="002358FA">
        <w:rPr>
          <w:rFonts w:ascii="Verdana" w:hAnsi="Verdana" w:cs="Helvetica-Light"/>
          <w:kern w:val="0"/>
        </w:rPr>
        <w:t xml:space="preserve">El enfoque adoptado se basa en la aplicación de principios técnicos que orientan los procesos de cuantificación, consolidación y reporte de </w:t>
      </w:r>
      <w:r w:rsidRPr="00162A26">
        <w:rPr>
          <w:rFonts w:ascii="Verdana" w:hAnsi="Verdana" w:cs="Helvetica-Light"/>
          <w:kern w:val="0"/>
        </w:rPr>
        <w:t>emisiones, tales como la integridad, la consistencia, la transparencia, la exactitud y la relevancia</w:t>
      </w:r>
      <w:r w:rsidRPr="002358FA">
        <w:rPr>
          <w:rFonts w:ascii="Verdana" w:hAnsi="Verdana" w:cs="Helvetica-Light"/>
          <w:kern w:val="0"/>
        </w:rPr>
        <w:t>, los cuales permiten asegurar la calidad y confiabilidad de la información generada. Estos principios constituyen la base para la estructuración de los lineamientos metodológicos del ROE, y orientan tanto a las personas jurídicas obligadas como a las entidades responsables de la administración, seguimiento y verificación del instrumento.</w:t>
      </w:r>
    </w:p>
    <w:p w14:paraId="3F3538D7" w14:textId="13AE688B" w:rsidR="002358FA" w:rsidRPr="002358FA" w:rsidRDefault="00FB5926" w:rsidP="002358FA">
      <w:pPr>
        <w:spacing w:after="120" w:line="240" w:lineRule="auto"/>
        <w:jc w:val="both"/>
        <w:rPr>
          <w:rFonts w:ascii="Verdana" w:hAnsi="Verdana" w:cs="Helvetica-Light"/>
          <w:kern w:val="0"/>
        </w:rPr>
      </w:pPr>
      <w:r w:rsidRPr="00FB5926">
        <w:rPr>
          <w:rFonts w:ascii="Verdana" w:hAnsi="Verdana" w:cs="Helvetica-Light"/>
          <w:kern w:val="0"/>
        </w:rPr>
        <w:t xml:space="preserve">De manera complementaria, el diseño del ROE articula de forma integrada los componentes de cuantificación, reporte y verificación de las emisiones de GEI, estableciendo reglas claras para la definición de límites organizacionales y operacionales, la selección de metodologías de cálculo, la consolidación de la información y su posterior verificación. Esta estructura permite asegurar la trazabilidad de la información desde su origen hasta su uso final, facilitando su </w:t>
      </w:r>
      <w:r w:rsidR="00C97C94">
        <w:rPr>
          <w:rFonts w:ascii="Verdana" w:hAnsi="Verdana" w:cs="Helvetica-Light"/>
          <w:kern w:val="0"/>
        </w:rPr>
        <w:t>integración</w:t>
      </w:r>
      <w:r w:rsidRPr="00FB5926">
        <w:rPr>
          <w:rFonts w:ascii="Verdana" w:hAnsi="Verdana" w:cs="Helvetica-Light"/>
          <w:kern w:val="0"/>
        </w:rPr>
        <w:t xml:space="preserve"> y articulación con otros sistemas, instrumentos y herramientas de información para la gestión del cambio climático, en el marco del Sistema Nacional de Información sobre Cambio Climático (SNICC), así como su utilización en procesos de planificación climática, seguimiento de metas de mitigación, transparencia climática y toma de decisiones para la implementación de instrumentos económicos como el Programa Nacional de Cupos Transables de Emisión de GEI (PNCTE).</w:t>
      </w:r>
    </w:p>
    <w:p w14:paraId="56D6D7E5" w14:textId="6DE1DF7D" w:rsidR="001403BF" w:rsidRPr="0044471C" w:rsidRDefault="002358FA" w:rsidP="002358FA">
      <w:pPr>
        <w:spacing w:after="120" w:line="240" w:lineRule="auto"/>
        <w:jc w:val="both"/>
        <w:rPr>
          <w:rFonts w:ascii="Verdana" w:hAnsi="Verdana" w:cs="Helvetica-Light"/>
          <w:kern w:val="0"/>
          <w:lang w:val="es-419"/>
        </w:rPr>
      </w:pPr>
      <w:r w:rsidRPr="002358FA">
        <w:rPr>
          <w:rFonts w:ascii="Verdana" w:hAnsi="Verdana" w:cs="Helvetica-Light"/>
          <w:kern w:val="0"/>
        </w:rPr>
        <w:t xml:space="preserve">En este contexto, el ROE se configura como un instrumento de información que opera bajo una lógica progresiva de implementación, en la cual los requerimientos de reporte, el alcance de las emisiones consideradas y los mecanismos de aseguramiento de la calidad de la información se fortalecen de manera gradual. Este enfoque permite equilibrar la necesidad de contar con información robusta y de alta calidad con las capacidades técnicas e </w:t>
      </w:r>
      <w:r w:rsidRPr="002358FA">
        <w:rPr>
          <w:rFonts w:ascii="Verdana" w:hAnsi="Verdana" w:cs="Helvetica-Light"/>
          <w:kern w:val="0"/>
        </w:rPr>
        <w:lastRenderedPageBreak/>
        <w:t>institucionales de las personas jurídicas obligadas, promoviendo una transición ordenada hacia sistemas más avanzados de reporte y gestión de emisiones</w:t>
      </w:r>
      <w:r w:rsidR="00CB7393" w:rsidRPr="00CB7393">
        <w:rPr>
          <w:rFonts w:ascii="Verdana" w:hAnsi="Verdana" w:cs="Helvetica-Light"/>
          <w:kern w:val="0"/>
        </w:rPr>
        <w:t>.</w:t>
      </w:r>
    </w:p>
    <w:p w14:paraId="0B255804" w14:textId="1C572F9F" w:rsidR="001403BF" w:rsidRPr="0044471C" w:rsidRDefault="001403BF" w:rsidP="0044471C">
      <w:pPr>
        <w:pStyle w:val="Ttulo1"/>
        <w:jc w:val="both"/>
        <w:rPr>
          <w:rFonts w:ascii="Verdana" w:hAnsi="Verdana"/>
          <w:b/>
          <w:bCs/>
          <w:sz w:val="22"/>
          <w:szCs w:val="22"/>
          <w:lang w:val="es-419"/>
        </w:rPr>
      </w:pPr>
      <w:r w:rsidRPr="0044471C">
        <w:rPr>
          <w:rFonts w:ascii="Verdana" w:hAnsi="Verdana"/>
          <w:b/>
          <w:bCs/>
          <w:sz w:val="22"/>
          <w:szCs w:val="22"/>
          <w:lang w:val="es-419"/>
        </w:rPr>
        <w:t xml:space="preserve">3. </w:t>
      </w:r>
      <w:r w:rsidR="009D007D" w:rsidRPr="009D007D">
        <w:rPr>
          <w:rFonts w:ascii="Verdana" w:hAnsi="Verdana"/>
          <w:b/>
          <w:bCs/>
          <w:sz w:val="22"/>
          <w:szCs w:val="22"/>
          <w:lang w:val="es-419"/>
        </w:rPr>
        <w:t>Justificación del enfoque utilizado para la consolidación de las emisiones de GEI bajo control operacional</w:t>
      </w:r>
    </w:p>
    <w:p w14:paraId="3C50FBD7" w14:textId="39274156" w:rsidR="00CE16D9" w:rsidRPr="00CE16D9" w:rsidRDefault="00CE16D9" w:rsidP="00CE16D9">
      <w:pPr>
        <w:spacing w:after="120" w:line="240" w:lineRule="auto"/>
        <w:jc w:val="both"/>
        <w:rPr>
          <w:rFonts w:ascii="Verdana" w:eastAsia="Arial" w:hAnsi="Verdana" w:cs="Arial"/>
          <w:lang w:val="es-419"/>
        </w:rPr>
      </w:pPr>
      <w:r w:rsidRPr="00CE16D9">
        <w:rPr>
          <w:rFonts w:ascii="Verdana" w:eastAsia="Arial" w:hAnsi="Verdana" w:cs="Arial"/>
          <w:lang w:val="es-419"/>
        </w:rPr>
        <w:t xml:space="preserve">La cuantificación y reporte de emisiones de gases de efecto invernadero a nivel organizacional requiere la definición previa de criterios para establecer qué fuentes de emisión deben ser incluidas dentro del inventario de GEI de una </w:t>
      </w:r>
      <w:r w:rsidR="008A0A94">
        <w:rPr>
          <w:rFonts w:ascii="Verdana" w:eastAsia="Arial" w:hAnsi="Verdana" w:cs="Arial"/>
          <w:lang w:val="es-419"/>
        </w:rPr>
        <w:t>persona jurídica</w:t>
      </w:r>
      <w:r w:rsidRPr="00CE16D9">
        <w:rPr>
          <w:rFonts w:ascii="Verdana" w:eastAsia="Arial" w:hAnsi="Verdana" w:cs="Arial"/>
          <w:lang w:val="es-419"/>
        </w:rPr>
        <w:t xml:space="preserve">. En este contexto, los estándares internacionales de referencia para la contabilidad y reporte de emisiones organizacionales, particularmente el </w:t>
      </w:r>
      <w:r w:rsidR="00C75AA4">
        <w:rPr>
          <w:rFonts w:ascii="Verdana" w:eastAsia="Arial" w:hAnsi="Verdana" w:cs="Arial"/>
          <w:lang w:val="es-419"/>
        </w:rPr>
        <w:t>Estándar</w:t>
      </w:r>
      <w:r w:rsidR="00E76521">
        <w:rPr>
          <w:rFonts w:ascii="Verdana" w:eastAsia="Arial" w:hAnsi="Verdana" w:cs="Arial"/>
          <w:lang w:val="es-419"/>
        </w:rPr>
        <w:t xml:space="preserve"> Corporativo de Contabilidad y Reporte del Protocolo de GEI o </w:t>
      </w:r>
      <w:r w:rsidR="00C75AA4">
        <w:rPr>
          <w:rFonts w:ascii="Verdana" w:eastAsia="Arial" w:hAnsi="Verdana" w:cs="Arial"/>
          <w:lang w:val="es-419"/>
        </w:rPr>
        <w:t xml:space="preserve">GHG Protocolo </w:t>
      </w:r>
      <w:r w:rsidRPr="00CE16D9">
        <w:rPr>
          <w:rFonts w:ascii="Verdana" w:eastAsia="Arial" w:hAnsi="Verdana" w:cs="Arial"/>
          <w:lang w:val="es-419"/>
        </w:rPr>
        <w:t xml:space="preserve">y la norma ISO 14064-1:2018, reconocen la necesidad de definir </w:t>
      </w:r>
      <w:r w:rsidRPr="008A0A94">
        <w:rPr>
          <w:rFonts w:ascii="Verdana" w:eastAsia="Arial" w:hAnsi="Verdana" w:cs="Arial"/>
          <w:b/>
          <w:bCs/>
          <w:lang w:val="es-419"/>
        </w:rPr>
        <w:t>límites organizacionales</w:t>
      </w:r>
      <w:r w:rsidRPr="00CE16D9">
        <w:rPr>
          <w:rFonts w:ascii="Verdana" w:eastAsia="Arial" w:hAnsi="Verdana" w:cs="Arial"/>
          <w:lang w:val="es-419"/>
        </w:rPr>
        <w:t xml:space="preserve"> que permitan consolidar de manera consistente las emisiones de GEI asociadas a las operaciones sobre las cuales una organización ejerce algún tipo de control o participación.</w:t>
      </w:r>
    </w:p>
    <w:p w14:paraId="430CD0CA" w14:textId="5EBFA772" w:rsidR="00CE16D9" w:rsidRPr="00CE16D9" w:rsidRDefault="00397AB6" w:rsidP="00CE16D9">
      <w:pPr>
        <w:spacing w:after="120" w:line="240" w:lineRule="auto"/>
        <w:jc w:val="both"/>
        <w:rPr>
          <w:rFonts w:ascii="Verdana" w:eastAsia="Arial" w:hAnsi="Verdana" w:cs="Arial"/>
          <w:lang w:val="es-419"/>
        </w:rPr>
      </w:pPr>
      <w:r w:rsidRPr="00397AB6">
        <w:rPr>
          <w:rFonts w:ascii="Verdana" w:eastAsia="Arial" w:hAnsi="Verdana" w:cs="Arial"/>
          <w:lang w:val="es-419"/>
        </w:rPr>
        <w:t xml:space="preserve">Para efectos de dicha consolidación, los estándares internacionales reconocen dos enfoques principales para la definición de límites organizacionales: </w:t>
      </w:r>
      <w:r w:rsidRPr="00397AB6">
        <w:rPr>
          <w:rFonts w:ascii="Verdana" w:eastAsia="Arial" w:hAnsi="Verdana" w:cs="Arial"/>
          <w:b/>
          <w:bCs/>
          <w:lang w:val="es-419"/>
        </w:rPr>
        <w:t>(i) el enfoque de participación accionaria</w:t>
      </w:r>
      <w:r w:rsidRPr="00397AB6">
        <w:rPr>
          <w:rFonts w:ascii="Verdana" w:eastAsia="Arial" w:hAnsi="Verdana" w:cs="Arial"/>
          <w:lang w:val="es-419"/>
        </w:rPr>
        <w:t xml:space="preserve">, mediante el cual la organización contabiliza las emisiones de GEI en proporción a su participación económica en la operación correspondiente; y </w:t>
      </w:r>
      <w:r w:rsidRPr="00397AB6">
        <w:rPr>
          <w:rFonts w:ascii="Verdana" w:eastAsia="Arial" w:hAnsi="Verdana" w:cs="Arial"/>
          <w:b/>
          <w:bCs/>
          <w:lang w:val="es-419"/>
        </w:rPr>
        <w:t>(</w:t>
      </w:r>
      <w:proofErr w:type="spellStart"/>
      <w:r w:rsidRPr="00397AB6">
        <w:rPr>
          <w:rFonts w:ascii="Verdana" w:eastAsia="Arial" w:hAnsi="Verdana" w:cs="Arial"/>
          <w:b/>
          <w:bCs/>
          <w:lang w:val="es-419"/>
        </w:rPr>
        <w:t>ii</w:t>
      </w:r>
      <w:proofErr w:type="spellEnd"/>
      <w:r w:rsidRPr="00397AB6">
        <w:rPr>
          <w:rFonts w:ascii="Verdana" w:eastAsia="Arial" w:hAnsi="Verdana" w:cs="Arial"/>
          <w:b/>
          <w:bCs/>
          <w:lang w:val="es-419"/>
        </w:rPr>
        <w:t>) el enfoque de control</w:t>
      </w:r>
      <w:r w:rsidRPr="00397AB6">
        <w:rPr>
          <w:rFonts w:ascii="Verdana" w:eastAsia="Arial" w:hAnsi="Verdana" w:cs="Arial"/>
          <w:lang w:val="es-419"/>
        </w:rPr>
        <w:t xml:space="preserve">, en virtud del cual la organización reporta el 100% de las emisiones asociadas a aquellas operaciones sobre las cuales ejerce control. Este último puede aplicarse bajo dos modalidades: </w:t>
      </w:r>
      <w:r w:rsidRPr="00397AB6">
        <w:rPr>
          <w:rFonts w:ascii="Verdana" w:eastAsia="Arial" w:hAnsi="Verdana" w:cs="Arial"/>
          <w:b/>
          <w:bCs/>
          <w:lang w:val="es-419"/>
        </w:rPr>
        <w:t>control financiero</w:t>
      </w:r>
      <w:r w:rsidRPr="00397AB6">
        <w:rPr>
          <w:rFonts w:ascii="Verdana" w:eastAsia="Arial" w:hAnsi="Verdana" w:cs="Arial"/>
          <w:lang w:val="es-419"/>
        </w:rPr>
        <w:t xml:space="preserve">, cuando la organización tiene la capacidad de dirigir las políticas financieras y operativas de una operación con el fin de obtener beneficios económicos de sus actividades; o </w:t>
      </w:r>
      <w:r w:rsidR="00461595" w:rsidRPr="00860F74">
        <w:rPr>
          <w:rFonts w:ascii="Verdana" w:eastAsia="Arial" w:hAnsi="Verdana" w:cs="Arial"/>
          <w:b/>
          <w:bCs/>
        </w:rPr>
        <w:t>control operacional</w:t>
      </w:r>
      <w:r w:rsidR="00461595" w:rsidRPr="00461595">
        <w:rPr>
          <w:rFonts w:ascii="Verdana" w:eastAsia="Arial" w:hAnsi="Verdana" w:cs="Arial"/>
        </w:rPr>
        <w:t>, cuando la organización tiene autoridad para introducir e implementar políticas operacionales, ambientales, de salud y seguridad en la operación correspondiente, debiendo reportar en consecuencia el 100 % de las emisiones asociadas a dicha operación</w:t>
      </w:r>
      <w:r w:rsidR="005E4378" w:rsidRPr="00CE16D9">
        <w:rPr>
          <w:rFonts w:ascii="Verdana" w:eastAsia="Arial" w:hAnsi="Verdana" w:cs="Arial"/>
          <w:lang w:val="es-419"/>
        </w:rPr>
        <w:t>.</w:t>
      </w:r>
    </w:p>
    <w:p w14:paraId="5DB2BF54" w14:textId="7106A462" w:rsidR="00CE16D9" w:rsidRPr="00CE16D9" w:rsidRDefault="00CE16D9" w:rsidP="00CE16D9">
      <w:pPr>
        <w:spacing w:after="120" w:line="240" w:lineRule="auto"/>
        <w:jc w:val="both"/>
        <w:rPr>
          <w:rFonts w:ascii="Verdana" w:eastAsia="Arial" w:hAnsi="Verdana" w:cs="Arial"/>
          <w:lang w:val="es-419"/>
        </w:rPr>
      </w:pPr>
      <w:r w:rsidRPr="00CE16D9">
        <w:rPr>
          <w:rFonts w:ascii="Verdana" w:eastAsia="Arial" w:hAnsi="Verdana" w:cs="Arial"/>
          <w:lang w:val="es-419"/>
        </w:rPr>
        <w:t xml:space="preserve">En el marco del ROE, se adopta el enfoque de consolidación bajo </w:t>
      </w:r>
      <w:r w:rsidRPr="00527F88">
        <w:rPr>
          <w:rFonts w:ascii="Verdana" w:eastAsia="Arial" w:hAnsi="Verdana" w:cs="Arial"/>
          <w:b/>
          <w:bCs/>
          <w:lang w:val="es-419"/>
        </w:rPr>
        <w:t>control operacional como criterio para la definición de los límites organizacionales de reporte</w:t>
      </w:r>
      <w:r w:rsidRPr="00CE16D9">
        <w:rPr>
          <w:rFonts w:ascii="Verdana" w:eastAsia="Arial" w:hAnsi="Verdana" w:cs="Arial"/>
          <w:lang w:val="es-419"/>
        </w:rPr>
        <w:t>. Esta decisión obedece a que dicho enfoque resulta el más adecuado para los objetivos del instrumento, en la medida en que permite atribuir la responsabilidad del reporte a la persona jurídica que efectivamente tiene capacidad de gestionar, monitorear e implementar medidas de control sobre las fuentes de emisión asociadas a sus operaciones. En este sentido, el control operacional constituye el criterio que mejor refleja la relación entre capacidad de gestión de emisiones y responsabilidad de reporte, favoreciendo la consistencia entre la información reportada y la capacidad real de la organización para influir sobre su desempeño en materia de emisiones de GEI.</w:t>
      </w:r>
    </w:p>
    <w:p w14:paraId="4827241F" w14:textId="77777777" w:rsidR="00CE16D9" w:rsidRPr="00CE16D9" w:rsidRDefault="00CE16D9" w:rsidP="00CE16D9">
      <w:pPr>
        <w:spacing w:after="120" w:line="240" w:lineRule="auto"/>
        <w:jc w:val="both"/>
        <w:rPr>
          <w:rFonts w:ascii="Verdana" w:eastAsia="Arial" w:hAnsi="Verdana" w:cs="Arial"/>
          <w:lang w:val="es-419"/>
        </w:rPr>
      </w:pPr>
      <w:r w:rsidRPr="00CE16D9">
        <w:rPr>
          <w:rFonts w:ascii="Verdana" w:eastAsia="Arial" w:hAnsi="Verdana" w:cs="Arial"/>
          <w:lang w:val="es-419"/>
        </w:rPr>
        <w:lastRenderedPageBreak/>
        <w:t>Adicionalmente, la adopción de este enfoque facilita la implementación práctica del ROE, al simplificar la identificación de fuentes sujetas a reporte y reducir la complejidad asociada al análisis de estructuras societarias, participaciones accionariales o esquemas de control financiero, los cuales pueden variar significativamente entre organizaciones y generar dificultades interpretativas y operativas en la aplicación homogénea del instrumento. El enfoque de control operacional permite, por tanto, una aplicación más objetiva, verificable y administrativamente eficiente del sistema de reporte, especialmente en el contexto de un instrumento de carácter obligatorio y de alcance nacional.</w:t>
      </w:r>
    </w:p>
    <w:p w14:paraId="706A2B90" w14:textId="77777777" w:rsidR="00CE16D9" w:rsidRPr="00CE16D9" w:rsidRDefault="00CE16D9" w:rsidP="00CE16D9">
      <w:pPr>
        <w:spacing w:after="120" w:line="240" w:lineRule="auto"/>
        <w:jc w:val="both"/>
        <w:rPr>
          <w:rFonts w:ascii="Verdana" w:eastAsia="Arial" w:hAnsi="Verdana" w:cs="Arial"/>
          <w:lang w:val="es-419"/>
        </w:rPr>
      </w:pPr>
      <w:r w:rsidRPr="00CE16D9">
        <w:rPr>
          <w:rFonts w:ascii="Verdana" w:eastAsia="Arial" w:hAnsi="Verdana" w:cs="Arial"/>
          <w:lang w:val="es-419"/>
        </w:rPr>
        <w:t>Desde la perspectiva de la calidad de la información, este enfoque contribuye igualmente a mejorar la trazabilidad, integridad y verificabilidad de los inventarios organizacionales, dado que las fuentes de emisión reportadas corresponden a operaciones respecto de las cuales la persona jurídica obligada cuenta con acceso directo a la información operativa necesaria para la cuantificación de emisiones, así como con la capacidad de implementar controles internos para asegurar la calidad de los datos reportados.</w:t>
      </w:r>
    </w:p>
    <w:p w14:paraId="5391CCD6" w14:textId="1308D346" w:rsidR="00AD5A78" w:rsidRDefault="00AD5A78" w:rsidP="00CE16D9">
      <w:pPr>
        <w:spacing w:after="120" w:line="240" w:lineRule="auto"/>
        <w:jc w:val="both"/>
        <w:rPr>
          <w:rFonts w:ascii="Verdana" w:eastAsia="Arial" w:hAnsi="Verdana" w:cs="Arial"/>
          <w:lang w:val="es-419"/>
        </w:rPr>
      </w:pPr>
      <w:r w:rsidRPr="00AD5A78">
        <w:rPr>
          <w:rFonts w:ascii="Verdana" w:eastAsia="Arial" w:hAnsi="Verdana" w:cs="Arial"/>
          <w:lang w:val="es-419"/>
        </w:rPr>
        <w:t xml:space="preserve">La adopción del enfoque de control operacional es coherente con los estándares internacionales en materia de contabilidad corporativa de GEI, los cuales reconocen este enfoque como una de las metodologías aceptadas para la definición de límites organizacionales en inventarios de emisiones, incluyendo el </w:t>
      </w:r>
      <w:r w:rsidR="004726BE">
        <w:rPr>
          <w:rFonts w:ascii="Verdana" w:eastAsia="Arial" w:hAnsi="Verdana" w:cs="Arial"/>
          <w:lang w:val="es-419"/>
        </w:rPr>
        <w:t>GHG</w:t>
      </w:r>
      <w:r w:rsidRPr="00AD5A78">
        <w:rPr>
          <w:rFonts w:ascii="Verdana" w:eastAsia="Arial" w:hAnsi="Verdana" w:cs="Arial"/>
          <w:lang w:val="es-419"/>
        </w:rPr>
        <w:t xml:space="preserve"> </w:t>
      </w:r>
      <w:proofErr w:type="spellStart"/>
      <w:r w:rsidRPr="00AD5A78">
        <w:rPr>
          <w:rFonts w:ascii="Verdana" w:eastAsia="Arial" w:hAnsi="Verdana" w:cs="Arial"/>
          <w:lang w:val="es-419"/>
        </w:rPr>
        <w:t>Protocol</w:t>
      </w:r>
      <w:proofErr w:type="spellEnd"/>
      <w:r w:rsidRPr="00AD5A78">
        <w:rPr>
          <w:rFonts w:ascii="Verdana" w:eastAsia="Arial" w:hAnsi="Verdana" w:cs="Arial"/>
          <w:lang w:val="es-419"/>
        </w:rPr>
        <w:t xml:space="preserve"> y la norma ISO 14064-1. Adicionalmente, el control operacional ha sido adoptado en diversos programas regulatorios y esquemas de reporte corporativo a nivel internacional, tales como el Registro Nacional de Emisiones de México (RENE), el </w:t>
      </w:r>
      <w:proofErr w:type="spellStart"/>
      <w:r w:rsidRPr="00AD5A78">
        <w:rPr>
          <w:rFonts w:ascii="Verdana" w:eastAsia="Arial" w:hAnsi="Verdana" w:cs="Arial"/>
          <w:lang w:val="es-419"/>
        </w:rPr>
        <w:t>National</w:t>
      </w:r>
      <w:proofErr w:type="spellEnd"/>
      <w:r w:rsidRPr="00AD5A78">
        <w:rPr>
          <w:rFonts w:ascii="Verdana" w:eastAsia="Arial" w:hAnsi="Verdana" w:cs="Arial"/>
          <w:lang w:val="es-419"/>
        </w:rPr>
        <w:t xml:space="preserve"> Greenhouse and Energy </w:t>
      </w:r>
      <w:proofErr w:type="spellStart"/>
      <w:r w:rsidRPr="00AD5A78">
        <w:rPr>
          <w:rFonts w:ascii="Verdana" w:eastAsia="Arial" w:hAnsi="Verdana" w:cs="Arial"/>
          <w:lang w:val="es-419"/>
        </w:rPr>
        <w:t>Reporting</w:t>
      </w:r>
      <w:proofErr w:type="spellEnd"/>
      <w:r w:rsidRPr="00AD5A78">
        <w:rPr>
          <w:rFonts w:ascii="Verdana" w:eastAsia="Arial" w:hAnsi="Verdana" w:cs="Arial"/>
          <w:lang w:val="es-419"/>
        </w:rPr>
        <w:t xml:space="preserve"> </w:t>
      </w:r>
      <w:proofErr w:type="spellStart"/>
      <w:r w:rsidRPr="00AD5A78">
        <w:rPr>
          <w:rFonts w:ascii="Verdana" w:eastAsia="Arial" w:hAnsi="Verdana" w:cs="Arial"/>
          <w:lang w:val="es-419"/>
        </w:rPr>
        <w:t>Scheme</w:t>
      </w:r>
      <w:proofErr w:type="spellEnd"/>
      <w:r w:rsidRPr="00AD5A78">
        <w:rPr>
          <w:rFonts w:ascii="Verdana" w:eastAsia="Arial" w:hAnsi="Verdana" w:cs="Arial"/>
          <w:lang w:val="es-419"/>
        </w:rPr>
        <w:t xml:space="preserve"> de Australia y plataformas de divulgación corporativa como el Carbon </w:t>
      </w:r>
      <w:proofErr w:type="spellStart"/>
      <w:r w:rsidRPr="00AD5A78">
        <w:rPr>
          <w:rFonts w:ascii="Verdana" w:eastAsia="Arial" w:hAnsi="Verdana" w:cs="Arial"/>
          <w:lang w:val="es-419"/>
        </w:rPr>
        <w:t>Disclosure</w:t>
      </w:r>
      <w:proofErr w:type="spellEnd"/>
      <w:r w:rsidRPr="00AD5A78">
        <w:rPr>
          <w:rFonts w:ascii="Verdana" w:eastAsia="Arial" w:hAnsi="Verdana" w:cs="Arial"/>
          <w:lang w:val="es-419"/>
        </w:rPr>
        <w:t xml:space="preserve"> Project (CDP), debido a su capacidad para reflejar adecuadamente la responsabilidad de gestión sobre las emisiones y facilitar la comparabilidad entre organizaciones. Asimismo, su adopción resulta consistente con el objetivo del ROE de consolidar información robusta y estandarizada para fortalecer los sistemas nacionales de Monitoreo, Reporte y Verificación (MRV), así como para soportar la formulación, implementación y seguimiento de instrumentos de política climática.</w:t>
      </w:r>
    </w:p>
    <w:p w14:paraId="62E19E1D" w14:textId="5880E66D" w:rsidR="00CE16D9" w:rsidRDefault="00CE16D9" w:rsidP="00CE16D9">
      <w:pPr>
        <w:spacing w:after="120" w:line="240" w:lineRule="auto"/>
        <w:jc w:val="both"/>
        <w:rPr>
          <w:rFonts w:ascii="Verdana" w:eastAsia="Arial" w:hAnsi="Verdana" w:cs="Arial"/>
          <w:lang w:val="es-419"/>
        </w:rPr>
      </w:pPr>
      <w:r w:rsidRPr="00CE16D9">
        <w:rPr>
          <w:rFonts w:ascii="Verdana" w:eastAsia="Arial" w:hAnsi="Verdana" w:cs="Arial"/>
          <w:lang w:val="es-419"/>
        </w:rPr>
        <w:t>En consecuencia, la adopción del enfoque de consolidación bajo control operacional en el marco del ROE constituye una decisión técnica y metodológicamente justificada, al tratarse del criterio que mejor permite garantizar la consistencia, trazabilidad</w:t>
      </w:r>
      <w:r w:rsidR="004F01DD">
        <w:rPr>
          <w:rFonts w:ascii="Verdana" w:eastAsia="Arial" w:hAnsi="Verdana" w:cs="Arial"/>
          <w:lang w:val="es-419"/>
        </w:rPr>
        <w:t xml:space="preserve">, </w:t>
      </w:r>
      <w:r w:rsidRPr="00CE16D9">
        <w:rPr>
          <w:rFonts w:ascii="Verdana" w:eastAsia="Arial" w:hAnsi="Verdana" w:cs="Arial"/>
          <w:lang w:val="es-419"/>
        </w:rPr>
        <w:t xml:space="preserve">utilidad </w:t>
      </w:r>
      <w:r w:rsidR="004F01DD">
        <w:rPr>
          <w:rFonts w:ascii="Verdana" w:eastAsia="Arial" w:hAnsi="Verdana" w:cs="Arial"/>
          <w:lang w:val="es-419"/>
        </w:rPr>
        <w:t xml:space="preserve">y la verificación </w:t>
      </w:r>
      <w:r w:rsidRPr="00CE16D9">
        <w:rPr>
          <w:rFonts w:ascii="Verdana" w:eastAsia="Arial" w:hAnsi="Verdana" w:cs="Arial"/>
          <w:lang w:val="es-419"/>
        </w:rPr>
        <w:t>de la información reportada, en concordancia con los objetivos del instrumento y con los estándares internacionales aplicables en materia de contabilidad y reporte de emisiones de GEI a nivel organizacional.</w:t>
      </w:r>
    </w:p>
    <w:p w14:paraId="089F6F6E" w14:textId="135167BE" w:rsidR="00A33601" w:rsidRPr="00153A64" w:rsidRDefault="006550EB" w:rsidP="00153A64">
      <w:pPr>
        <w:pStyle w:val="Ttulo1"/>
        <w:jc w:val="both"/>
        <w:rPr>
          <w:rFonts w:ascii="Verdana" w:hAnsi="Verdana"/>
          <w:b/>
          <w:bCs/>
          <w:sz w:val="22"/>
          <w:szCs w:val="22"/>
          <w:lang w:val="es-419"/>
        </w:rPr>
      </w:pPr>
      <w:r w:rsidRPr="00153A64">
        <w:rPr>
          <w:rFonts w:ascii="Verdana" w:hAnsi="Verdana"/>
          <w:b/>
          <w:bCs/>
          <w:sz w:val="22"/>
          <w:szCs w:val="22"/>
          <w:lang w:val="es-419"/>
        </w:rPr>
        <w:lastRenderedPageBreak/>
        <w:t xml:space="preserve">4. </w:t>
      </w:r>
      <w:r w:rsidR="000275A6" w:rsidRPr="000275A6">
        <w:rPr>
          <w:rFonts w:ascii="Verdana" w:hAnsi="Verdana"/>
          <w:b/>
          <w:bCs/>
          <w:sz w:val="22"/>
          <w:szCs w:val="22"/>
          <w:lang w:val="es-419"/>
        </w:rPr>
        <w:t>Justificación del nivel de emisiones definido para la obligación de reporte</w:t>
      </w:r>
    </w:p>
    <w:p w14:paraId="15938911" w14:textId="77777777" w:rsidR="00C266C8" w:rsidRDefault="00C266C8" w:rsidP="00806FCB">
      <w:pPr>
        <w:spacing w:after="120" w:line="240" w:lineRule="auto"/>
        <w:jc w:val="both"/>
        <w:rPr>
          <w:rFonts w:ascii="Verdana" w:eastAsia="Arial" w:hAnsi="Verdana" w:cs="Arial"/>
        </w:rPr>
      </w:pPr>
      <w:r w:rsidRPr="00C266C8">
        <w:rPr>
          <w:rFonts w:ascii="Verdana" w:eastAsia="Arial" w:hAnsi="Verdana" w:cs="Arial"/>
        </w:rPr>
        <w:t>La definición de un nivel de emisiones de gases de efecto invernadero como criterio para determinar la obligación de reporte en el marco del Reporte Obligatorio de Emisiones de GEI (ROE) constituye un elemento estructural del diseño del instrumento, en la medida en que permite delimitar de manera objetiva el universo de sujetos obligados a reportar y focalizar la generación de información en aquellos actores cuya contribución a las emisiones de GEI resulta materialmente relevante para los fines de la política climática. En este sentido, el nivel de emisiones no tiene por objeto clasificar emisores en abstracto, sino establecer el punto a partir del cual la obligación de reporte resulta técnica, operativa y regulatoriamente justificada en función de los objetivos del sistema.</w:t>
      </w:r>
    </w:p>
    <w:p w14:paraId="6087A8C6" w14:textId="77777777" w:rsidR="00CA0338" w:rsidRDefault="00CA0338" w:rsidP="00806FCB">
      <w:pPr>
        <w:spacing w:after="120" w:line="240" w:lineRule="auto"/>
        <w:jc w:val="both"/>
        <w:rPr>
          <w:rFonts w:ascii="Verdana" w:eastAsia="Arial" w:hAnsi="Verdana" w:cs="Arial"/>
        </w:rPr>
      </w:pPr>
      <w:r w:rsidRPr="00CA0338">
        <w:rPr>
          <w:rFonts w:ascii="Verdana" w:eastAsia="Arial" w:hAnsi="Verdana" w:cs="Arial"/>
        </w:rPr>
        <w:t xml:space="preserve">El nivel de emisiones definido en 11.000 </w:t>
      </w:r>
      <w:proofErr w:type="spellStart"/>
      <w:r w:rsidRPr="00CA0338">
        <w:rPr>
          <w:rFonts w:ascii="Verdana" w:eastAsia="Arial" w:hAnsi="Verdana" w:cs="Arial"/>
        </w:rPr>
        <w:t>tCO₂e</w:t>
      </w:r>
      <w:proofErr w:type="spellEnd"/>
      <w:r w:rsidRPr="00CA0338">
        <w:rPr>
          <w:rFonts w:ascii="Verdana" w:eastAsia="Arial" w:hAnsi="Verdana" w:cs="Arial"/>
        </w:rPr>
        <w:t>/año responde a la necesidad de focalizar la obligación de reporte en personas jurídicas con una incidencia significativa en la dinámica agregada de emisiones, bajo el entendido de que una proporción relevante de las emisiones suele concentrarse en un número relativamente reducido de emisores. En este contexto, la definición de un nivel de emisiones permite concentrar los esfuerzos de monitoreo, reporte y verificación en aquellos actores cuya información resulta más relevante para la toma de decisiones, maximizando la utilidad de la información generada y evitando imponer obligaciones de reporte sobre personas jurídicas cuya contribución individual al total de emisiones es marginal.</w:t>
      </w:r>
    </w:p>
    <w:p w14:paraId="614697D0" w14:textId="36E4EC65" w:rsidR="00806FCB" w:rsidRPr="00806FCB" w:rsidRDefault="003B2443" w:rsidP="00806FCB">
      <w:pPr>
        <w:spacing w:after="120" w:line="240" w:lineRule="auto"/>
        <w:jc w:val="both"/>
        <w:rPr>
          <w:rFonts w:ascii="Verdana" w:eastAsia="Arial" w:hAnsi="Verdana" w:cs="Arial"/>
        </w:rPr>
      </w:pPr>
      <w:r w:rsidRPr="003B2443">
        <w:rPr>
          <w:rFonts w:ascii="Verdana" w:eastAsia="Arial" w:hAnsi="Verdana" w:cs="Arial"/>
        </w:rPr>
        <w:t xml:space="preserve">Adicionalmente, la determinación del nivel de emisiones en 11.000 </w:t>
      </w:r>
      <w:proofErr w:type="spellStart"/>
      <w:r w:rsidRPr="003B2443">
        <w:rPr>
          <w:rFonts w:ascii="Verdana" w:eastAsia="Arial" w:hAnsi="Verdana" w:cs="Arial"/>
        </w:rPr>
        <w:t>tCO₂e</w:t>
      </w:r>
      <w:proofErr w:type="spellEnd"/>
      <w:r w:rsidRPr="003B2443">
        <w:rPr>
          <w:rFonts w:ascii="Verdana" w:eastAsia="Arial" w:hAnsi="Verdana" w:cs="Arial"/>
        </w:rPr>
        <w:t xml:space="preserve">/año obedece a la necesidad de mantener un balance adecuado entre la cobertura del sistema y su viabilidad operativa. La reducción excesiva de dicho nivel implicaría incorporar un número significativamente mayor de personas jurídicas obligadas </w:t>
      </w:r>
      <w:r w:rsidRPr="008C06E0">
        <w:rPr>
          <w:rFonts w:ascii="Verdana" w:eastAsia="Arial" w:hAnsi="Verdana" w:cs="Arial"/>
        </w:rPr>
        <w:t xml:space="preserve">a reportar, generando incrementos sustanciales en la carga técnica, administrativa y financiera para los sujetos obligados, </w:t>
      </w:r>
      <w:r w:rsidR="00DD4BA5" w:rsidRPr="008C06E0">
        <w:rPr>
          <w:rFonts w:ascii="Verdana" w:eastAsia="Arial" w:hAnsi="Verdana" w:cs="Arial"/>
        </w:rPr>
        <w:t>el Ministerio de Ambiente y Desarrollo Sostenible</w:t>
      </w:r>
      <w:r w:rsidRPr="008C06E0">
        <w:rPr>
          <w:rFonts w:ascii="Verdana" w:eastAsia="Arial" w:hAnsi="Verdana" w:cs="Arial"/>
        </w:rPr>
        <w:t xml:space="preserve"> y los</w:t>
      </w:r>
      <w:r w:rsidRPr="003B2443">
        <w:rPr>
          <w:rFonts w:ascii="Verdana" w:eastAsia="Arial" w:hAnsi="Verdana" w:cs="Arial"/>
        </w:rPr>
        <w:t xml:space="preserve"> demás actores que intervienen en el ecosistema de monitoreo, reporte y verificación, incluidos los organismos de validación y verificación. No obstante, dicha ampliación no necesariamente se traduciría en un incremento significativo de la cobertura o utilidad de la información generada por el sistema, en la medida en que incorporaría un número elevado de personas jurídicas con baja contribución relativa al total de emisiones, cuya inclusión supondría una carga adicional considerable sin aportar mejoras equivalentes en la capacidad analítica o de soporte a la política climática</w:t>
      </w:r>
      <w:r w:rsidR="00806FCB" w:rsidRPr="00806FCB">
        <w:rPr>
          <w:rFonts w:ascii="Verdana" w:eastAsia="Arial" w:hAnsi="Verdana" w:cs="Arial"/>
        </w:rPr>
        <w:t xml:space="preserve">. </w:t>
      </w:r>
      <w:r w:rsidRPr="003B2443">
        <w:rPr>
          <w:rFonts w:ascii="Verdana" w:eastAsia="Arial" w:hAnsi="Verdana" w:cs="Arial"/>
        </w:rPr>
        <w:t>Por el contrario, un nivel significativamente superior reduciría la carga operativa del sistema, pero a costa de excluir personas jurídicas cuya contribución puede resultar relevante desde una perspectiva sectorial, territorial o para fines de diseño de política pública</w:t>
      </w:r>
      <w:r w:rsidR="00806FCB" w:rsidRPr="00806FCB">
        <w:rPr>
          <w:rFonts w:ascii="Verdana" w:eastAsia="Arial" w:hAnsi="Verdana" w:cs="Arial"/>
        </w:rPr>
        <w:t>.</w:t>
      </w:r>
    </w:p>
    <w:p w14:paraId="6C3AE964" w14:textId="77777777" w:rsidR="00806FCB" w:rsidRPr="00806FCB" w:rsidRDefault="00806FCB" w:rsidP="00806FCB">
      <w:pPr>
        <w:spacing w:after="120" w:line="240" w:lineRule="auto"/>
        <w:jc w:val="both"/>
        <w:rPr>
          <w:rFonts w:ascii="Verdana" w:eastAsia="Arial" w:hAnsi="Verdana" w:cs="Arial"/>
        </w:rPr>
      </w:pPr>
    </w:p>
    <w:p w14:paraId="307379AE" w14:textId="77777777" w:rsidR="00E665F6" w:rsidRDefault="00E665F6" w:rsidP="00806FCB">
      <w:pPr>
        <w:spacing w:after="120" w:line="240" w:lineRule="auto"/>
        <w:jc w:val="both"/>
        <w:rPr>
          <w:rFonts w:ascii="Verdana" w:eastAsia="Arial" w:hAnsi="Verdana" w:cs="Arial"/>
        </w:rPr>
      </w:pPr>
      <w:r w:rsidRPr="00E665F6">
        <w:rPr>
          <w:rFonts w:ascii="Verdana" w:eastAsia="Arial" w:hAnsi="Verdana" w:cs="Arial"/>
        </w:rPr>
        <w:lastRenderedPageBreak/>
        <w:t>Desde la perspectiva regulatoria, la adopción de un nivel de emisiones como criterio de obligatoriedad responde igualmente al principio de proporcionalidad, conforme al cual las cargas regulatorias deben ser adecuadas, necesarias y razonables en relación con el impacto ambiental de los sujetos regulados y con los objetivos perseguidos por la regulación. En el contexto del ROE, la obligación de medir, reportar y someter a verificación las emisiones de GEI implica la movilización de capacidades técnicas, administrativas y financieras por parte de las personas jurídicas obligadas, razón por la cual su imposición debe justificarse en función de la magnitud de las emisiones cuya captura se pretende asegurar. Bajo este criterio, el nivel de emisiones definido permite modular la aplicación de la obligación de reporte de manera proporcional al impacto climático de las personas jurídicas obligadas, evitando extenderla indiscriminadamente a personas jurídicas de baja incidencia relativa en términos de emisiones.</w:t>
      </w:r>
    </w:p>
    <w:p w14:paraId="2BD65DD2" w14:textId="77777777" w:rsidR="00AF4371" w:rsidRDefault="000B1BB7" w:rsidP="00806FCB">
      <w:pPr>
        <w:spacing w:after="120" w:line="240" w:lineRule="auto"/>
        <w:jc w:val="both"/>
        <w:rPr>
          <w:rFonts w:ascii="Verdana" w:eastAsia="Arial" w:hAnsi="Verdana" w:cs="Arial"/>
        </w:rPr>
      </w:pPr>
      <w:r w:rsidRPr="000B1BB7">
        <w:rPr>
          <w:rFonts w:ascii="Verdana" w:eastAsia="Arial" w:hAnsi="Verdana" w:cs="Arial"/>
        </w:rPr>
        <w:t xml:space="preserve">La definición del nivel de emisiones adoptado se soporta igualmente en los análisis técnicos desarrollados para el diseño conceptual del Reporte Obligatorio de Emisiones de GEI en Colombia, particularmente en el estudio </w:t>
      </w:r>
      <w:r w:rsidRPr="000B1BB7">
        <w:rPr>
          <w:rFonts w:ascii="Verdana" w:eastAsia="Arial" w:hAnsi="Verdana" w:cs="Arial"/>
          <w:i/>
          <w:iCs/>
        </w:rPr>
        <w:t>“Opciones de diseño para un Programa de Reporte Obligatorio de Gases de Efecto Invernadero a Nivel Corporativo en Colombia”</w:t>
      </w:r>
      <w:r w:rsidRPr="000B1BB7">
        <w:rPr>
          <w:rFonts w:ascii="Verdana" w:eastAsia="Arial" w:hAnsi="Verdana" w:cs="Arial"/>
        </w:rPr>
        <w:t xml:space="preserve">, elaborado en el marco del </w:t>
      </w:r>
      <w:proofErr w:type="spellStart"/>
      <w:r w:rsidRPr="000B1BB7">
        <w:rPr>
          <w:rFonts w:ascii="Verdana" w:eastAsia="Arial" w:hAnsi="Verdana" w:cs="Arial"/>
        </w:rPr>
        <w:t>Partnership</w:t>
      </w:r>
      <w:proofErr w:type="spellEnd"/>
      <w:r w:rsidRPr="000B1BB7">
        <w:rPr>
          <w:rFonts w:ascii="Verdana" w:eastAsia="Arial" w:hAnsi="Verdana" w:cs="Arial"/>
        </w:rPr>
        <w:t xml:space="preserve"> </w:t>
      </w:r>
      <w:proofErr w:type="spellStart"/>
      <w:r w:rsidRPr="000B1BB7">
        <w:rPr>
          <w:rFonts w:ascii="Verdana" w:eastAsia="Arial" w:hAnsi="Verdana" w:cs="Arial"/>
        </w:rPr>
        <w:t>for</w:t>
      </w:r>
      <w:proofErr w:type="spellEnd"/>
      <w:r w:rsidRPr="000B1BB7">
        <w:rPr>
          <w:rFonts w:ascii="Verdana" w:eastAsia="Arial" w:hAnsi="Verdana" w:cs="Arial"/>
        </w:rPr>
        <w:t xml:space="preserve"> Market </w:t>
      </w:r>
      <w:proofErr w:type="spellStart"/>
      <w:r w:rsidRPr="000B1BB7">
        <w:rPr>
          <w:rFonts w:ascii="Verdana" w:eastAsia="Arial" w:hAnsi="Verdana" w:cs="Arial"/>
        </w:rPr>
        <w:t>Readiness</w:t>
      </w:r>
      <w:proofErr w:type="spellEnd"/>
      <w:r w:rsidRPr="000B1BB7">
        <w:rPr>
          <w:rFonts w:ascii="Verdana" w:eastAsia="Arial" w:hAnsi="Verdana" w:cs="Arial"/>
        </w:rPr>
        <w:t xml:space="preserve"> (PMR) del Banco Mundial para el Ministerio de Ambiente y Desarrollo Sostenible, en el cual se evaluaron distintas alternativas de cobertura, criterios de focalización y configuraciones regulatorias para el instrumento. Dicho análisis concluyó que la focalización inicial del sistema de reporte en emisores con mayores niveles relativos de emisión favorece la eficiencia administrativa del programa, mejora la utilidad estratégica de la información recopilada y permite una implementación proporcional y técnicamente viable del instrumento en función de las capacidades institucionales y de los sujetos</w:t>
      </w:r>
      <w:r w:rsidR="00CB1807">
        <w:rPr>
          <w:rFonts w:ascii="Verdana" w:eastAsia="Arial" w:hAnsi="Verdana" w:cs="Arial"/>
        </w:rPr>
        <w:t xml:space="preserve"> obligados</w:t>
      </w:r>
      <w:r w:rsidRPr="000B1BB7">
        <w:rPr>
          <w:rFonts w:ascii="Verdana" w:eastAsia="Arial" w:hAnsi="Verdana" w:cs="Arial"/>
        </w:rPr>
        <w:t>.</w:t>
      </w:r>
    </w:p>
    <w:p w14:paraId="474AB805" w14:textId="1F293176" w:rsidR="000B1BB7" w:rsidRDefault="00AF4371" w:rsidP="00806FCB">
      <w:pPr>
        <w:spacing w:after="120" w:line="240" w:lineRule="auto"/>
        <w:jc w:val="both"/>
        <w:rPr>
          <w:rFonts w:ascii="Verdana" w:eastAsia="Arial" w:hAnsi="Verdana" w:cs="Arial"/>
        </w:rPr>
      </w:pPr>
      <w:r w:rsidRPr="00AF4371">
        <w:rPr>
          <w:rFonts w:ascii="Verdana" w:eastAsia="Arial" w:hAnsi="Verdana" w:cs="Arial"/>
        </w:rPr>
        <w:t xml:space="preserve">La definición del nivel de emisiones adoptado resulta, además, funcional a los objetivos estratégicos de la política climática nacional, en la medida en que permite consolidar una base de información robusta, comparable y verificable sobre los emisores con mayor incidencia relativa, la cual constituye un insumo fundamental </w:t>
      </w:r>
      <w:r w:rsidR="00D36E05">
        <w:rPr>
          <w:rFonts w:ascii="Verdana" w:eastAsia="Arial" w:hAnsi="Verdana" w:cs="Arial"/>
        </w:rPr>
        <w:t xml:space="preserve">en el marco de la </w:t>
      </w:r>
      <w:r w:rsidRPr="00AF4371">
        <w:rPr>
          <w:rFonts w:ascii="Verdana" w:eastAsia="Arial" w:hAnsi="Verdana" w:cs="Arial"/>
        </w:rPr>
        <w:t>implementación y seguimiento de instrumentos de política climática, incluyendo el Programa Nacional de Cupos Transables de Emisión de GEI (PNCTE). En particular, dado que el ROE está llamado a constituirse en la fuente oficial de información organizacional sobre emisiones de GEI para el diseño y operación de instrumentos regulatorios posteriores, resulta necesario que el universo de personas jurídicas sujetas a reporte capture de manera eficiente y estratégica a aquellos actores que concentran una proporción significativa de las emisiones relevantes para dichos fines.</w:t>
      </w:r>
      <w:r w:rsidR="000B1BB7" w:rsidRPr="000B1BB7">
        <w:rPr>
          <w:rFonts w:ascii="Verdana" w:eastAsia="Arial" w:hAnsi="Verdana" w:cs="Arial"/>
        </w:rPr>
        <w:t xml:space="preserve"> </w:t>
      </w:r>
    </w:p>
    <w:p w14:paraId="1BCE2E88" w14:textId="77777777" w:rsidR="00833592" w:rsidRDefault="00833592" w:rsidP="002664F3">
      <w:pPr>
        <w:pStyle w:val="Descripcin"/>
        <w:keepNext/>
        <w:jc w:val="both"/>
        <w:rPr>
          <w:rFonts w:ascii="Verdana" w:eastAsia="Arial" w:hAnsi="Verdana" w:cs="Arial"/>
          <w:i w:val="0"/>
          <w:iCs w:val="0"/>
          <w:color w:val="auto"/>
          <w:sz w:val="22"/>
          <w:szCs w:val="22"/>
        </w:rPr>
      </w:pPr>
      <w:r w:rsidRPr="00833592">
        <w:rPr>
          <w:rFonts w:ascii="Verdana" w:eastAsia="Arial" w:hAnsi="Verdana" w:cs="Arial"/>
          <w:i w:val="0"/>
          <w:iCs w:val="0"/>
          <w:color w:val="auto"/>
          <w:sz w:val="22"/>
          <w:szCs w:val="22"/>
        </w:rPr>
        <w:t xml:space="preserve">De manera complementaria, el nivel de emisiones adoptado guarda coherencia con referentes técnicos previamente utilizados en el contexto nacional para la identificación de fuentes con emisiones significativas de GEI, particularmente en desarrollos metodológicos asociados al Registro de Emisiones y Transferencia de </w:t>
      </w:r>
      <w:r w:rsidRPr="00833592">
        <w:rPr>
          <w:rFonts w:ascii="Verdana" w:eastAsia="Arial" w:hAnsi="Verdana" w:cs="Arial"/>
          <w:i w:val="0"/>
          <w:iCs w:val="0"/>
          <w:color w:val="auto"/>
          <w:sz w:val="22"/>
          <w:szCs w:val="22"/>
        </w:rPr>
        <w:lastRenderedPageBreak/>
        <w:t>Contaminantes (RETC), incorporados en instrumentos y lineamientos técnicos adoptados en el marco de la Resolución 0839 de 2023, en los cuales se ha considerado un orden de magnitud similar como referencia técnica para la identificación de establecimientos con emisiones relevantes. Si bien el alcance, finalidad y diseño del ROE difieren sustancialmente de los instrumentos asociados al RETC, la consideración de este referente contribuye a mantener coherencia técnica y regulatoria en el desarrollo progresivo de los sistemas nacionales de información ambiental y climática, sin que ello implique una equivalencia normativa entre ambos instrumentos.</w:t>
      </w:r>
    </w:p>
    <w:p w14:paraId="60231588" w14:textId="5A1CBEBD" w:rsidR="002664F3" w:rsidRDefault="002664F3" w:rsidP="002664F3">
      <w:pPr>
        <w:pStyle w:val="Descripcin"/>
        <w:keepNext/>
        <w:jc w:val="both"/>
        <w:rPr>
          <w:rFonts w:ascii="Verdana" w:eastAsia="Arial" w:hAnsi="Verdana" w:cs="Arial"/>
          <w:i w:val="0"/>
          <w:iCs w:val="0"/>
          <w:color w:val="auto"/>
          <w:sz w:val="22"/>
          <w:szCs w:val="22"/>
        </w:rPr>
      </w:pPr>
      <w:r w:rsidRPr="002664F3">
        <w:rPr>
          <w:rFonts w:ascii="Verdana" w:eastAsia="Arial" w:hAnsi="Verdana" w:cs="Arial"/>
          <w:i w:val="0"/>
          <w:iCs w:val="0"/>
          <w:color w:val="auto"/>
          <w:sz w:val="22"/>
          <w:szCs w:val="22"/>
        </w:rPr>
        <w:t xml:space="preserve">Sin perjuicio de las diferencias metodológicas, sectoriales e institucionales existentes entre jurisdicciones, la revisión comparada de sistemas obligatorios de reporte de emisiones de GEI evidencia que los niveles de obligatoriedad adoptados internacionalmente suelen ubicarse dentro de rangos similares al considerado para el ROE, generalmente entre 10.000 y 25.000 </w:t>
      </w:r>
      <w:proofErr w:type="spellStart"/>
      <w:r w:rsidRPr="002664F3">
        <w:rPr>
          <w:rFonts w:ascii="Verdana" w:eastAsia="Arial" w:hAnsi="Verdana" w:cs="Arial"/>
          <w:i w:val="0"/>
          <w:iCs w:val="0"/>
          <w:color w:val="auto"/>
          <w:sz w:val="22"/>
          <w:szCs w:val="22"/>
        </w:rPr>
        <w:t>tCO₂e</w:t>
      </w:r>
      <w:proofErr w:type="spellEnd"/>
      <w:r w:rsidRPr="002664F3">
        <w:rPr>
          <w:rFonts w:ascii="Verdana" w:eastAsia="Arial" w:hAnsi="Verdana" w:cs="Arial"/>
          <w:i w:val="0"/>
          <w:iCs w:val="0"/>
          <w:color w:val="auto"/>
          <w:sz w:val="22"/>
          <w:szCs w:val="22"/>
        </w:rPr>
        <w:t xml:space="preserve">/año, dependiendo de las condiciones institucionales, sectoriales y económicas de cada jurisdicción. En este contexto, la adopción de un nivel de emisiones de 11.000 </w:t>
      </w:r>
      <w:proofErr w:type="spellStart"/>
      <w:r w:rsidRPr="002664F3">
        <w:rPr>
          <w:rFonts w:ascii="Verdana" w:eastAsia="Arial" w:hAnsi="Verdana" w:cs="Arial"/>
          <w:i w:val="0"/>
          <w:iCs w:val="0"/>
          <w:color w:val="auto"/>
          <w:sz w:val="22"/>
          <w:szCs w:val="22"/>
        </w:rPr>
        <w:t>tCO₂e</w:t>
      </w:r>
      <w:proofErr w:type="spellEnd"/>
      <w:r w:rsidRPr="002664F3">
        <w:rPr>
          <w:rFonts w:ascii="Verdana" w:eastAsia="Arial" w:hAnsi="Verdana" w:cs="Arial"/>
          <w:i w:val="0"/>
          <w:iCs w:val="0"/>
          <w:color w:val="auto"/>
          <w:sz w:val="22"/>
          <w:szCs w:val="22"/>
        </w:rPr>
        <w:t>/año resulta consistente con las prácticas regulatorias observadas internacionalmente, al tiempo que refleja una adaptación de dichos referentes a las condiciones particulares del contexto colombiano (ver Tabla 1).</w:t>
      </w:r>
    </w:p>
    <w:p w14:paraId="15109705" w14:textId="16D763F9" w:rsidR="00AE48C3" w:rsidRPr="00407C5A" w:rsidRDefault="00AE48C3" w:rsidP="00AE48C3">
      <w:pPr>
        <w:pStyle w:val="Descripcin"/>
        <w:keepNext/>
        <w:jc w:val="center"/>
        <w:rPr>
          <w:rFonts w:ascii="Verdana" w:hAnsi="Verdana"/>
          <w:b/>
          <w:bCs/>
        </w:rPr>
      </w:pPr>
      <w:r w:rsidRPr="00407C5A">
        <w:rPr>
          <w:rFonts w:ascii="Verdana" w:hAnsi="Verdana"/>
          <w:b/>
          <w:bCs/>
          <w:color w:val="auto"/>
          <w:sz w:val="20"/>
          <w:szCs w:val="20"/>
        </w:rPr>
        <w:t xml:space="preserve">Tabla </w:t>
      </w:r>
      <w:r w:rsidRPr="00407C5A">
        <w:rPr>
          <w:rFonts w:ascii="Verdana" w:hAnsi="Verdana"/>
          <w:b/>
          <w:bCs/>
          <w:color w:val="auto"/>
          <w:sz w:val="20"/>
          <w:szCs w:val="20"/>
        </w:rPr>
        <w:fldChar w:fldCharType="begin"/>
      </w:r>
      <w:r w:rsidRPr="00407C5A">
        <w:rPr>
          <w:rFonts w:ascii="Verdana" w:hAnsi="Verdana"/>
          <w:b/>
          <w:bCs/>
          <w:color w:val="auto"/>
          <w:sz w:val="20"/>
          <w:szCs w:val="20"/>
        </w:rPr>
        <w:instrText xml:space="preserve"> SEQ Tabla \* ARABIC </w:instrText>
      </w:r>
      <w:r w:rsidRPr="00407C5A">
        <w:rPr>
          <w:rFonts w:ascii="Verdana" w:hAnsi="Verdana"/>
          <w:b/>
          <w:bCs/>
          <w:color w:val="auto"/>
          <w:sz w:val="20"/>
          <w:szCs w:val="20"/>
        </w:rPr>
        <w:fldChar w:fldCharType="separate"/>
      </w:r>
      <w:r w:rsidRPr="00407C5A">
        <w:rPr>
          <w:rFonts w:ascii="Verdana" w:hAnsi="Verdana"/>
          <w:b/>
          <w:bCs/>
          <w:noProof/>
          <w:color w:val="auto"/>
          <w:sz w:val="20"/>
          <w:szCs w:val="20"/>
        </w:rPr>
        <w:t>1</w:t>
      </w:r>
      <w:r w:rsidRPr="00407C5A">
        <w:rPr>
          <w:rFonts w:ascii="Verdana" w:hAnsi="Verdana"/>
          <w:b/>
          <w:bCs/>
          <w:color w:val="auto"/>
          <w:sz w:val="20"/>
          <w:szCs w:val="20"/>
        </w:rPr>
        <w:fldChar w:fldCharType="end"/>
      </w:r>
      <w:r w:rsidRPr="00407C5A">
        <w:rPr>
          <w:rFonts w:ascii="Verdana" w:hAnsi="Verdana"/>
          <w:b/>
          <w:bCs/>
          <w:color w:val="auto"/>
          <w:sz w:val="20"/>
          <w:szCs w:val="20"/>
        </w:rPr>
        <w:t>. Referentes internacionales en sistemas de reporte de emisiones de GEI</w:t>
      </w:r>
    </w:p>
    <w:tbl>
      <w:tblPr>
        <w:tblStyle w:val="Tablaconcuadrcula4-nfasis6"/>
        <w:tblW w:w="9067" w:type="dxa"/>
        <w:tblLayout w:type="fixed"/>
        <w:tblLook w:val="04A0" w:firstRow="1" w:lastRow="0" w:firstColumn="1" w:lastColumn="0" w:noHBand="0" w:noVBand="1"/>
      </w:tblPr>
      <w:tblGrid>
        <w:gridCol w:w="1297"/>
        <w:gridCol w:w="1817"/>
        <w:gridCol w:w="1984"/>
        <w:gridCol w:w="3969"/>
      </w:tblGrid>
      <w:tr w:rsidR="00466AAA" w:rsidRPr="00466AAA" w14:paraId="79A21A19" w14:textId="77777777" w:rsidTr="00407C5A">
        <w:trPr>
          <w:cnfStyle w:val="100000000000" w:firstRow="1" w:lastRow="0" w:firstColumn="0" w:lastColumn="0" w:oddVBand="0" w:evenVBand="0" w:oddHBand="0" w:evenHBand="0" w:firstRowFirstColumn="0" w:firstRowLastColumn="0" w:lastRowFirstColumn="0" w:lastRowLastColumn="0"/>
          <w:trHeight w:val="580"/>
          <w:tblHeader/>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372E8B7A" w14:textId="77777777" w:rsidR="00466AAA" w:rsidRPr="00105019" w:rsidRDefault="00466AAA" w:rsidP="00AE48C3">
            <w:pPr>
              <w:jc w:val="center"/>
              <w:rPr>
                <w:rFonts w:ascii="Verdana" w:eastAsia="Times New Roman" w:hAnsi="Verdana"/>
                <w:b w:val="0"/>
                <w:bCs w:val="0"/>
                <w:color w:val="FFFFFF"/>
                <w:sz w:val="20"/>
                <w:szCs w:val="20"/>
                <w:lang w:eastAsia="es-CO"/>
              </w:rPr>
            </w:pPr>
            <w:r w:rsidRPr="00105019">
              <w:rPr>
                <w:rFonts w:ascii="Verdana" w:eastAsia="Times New Roman" w:hAnsi="Verdana"/>
                <w:color w:val="FFFFFF"/>
                <w:sz w:val="20"/>
                <w:szCs w:val="20"/>
                <w:lang w:eastAsia="es-CO"/>
              </w:rPr>
              <w:t>País</w:t>
            </w:r>
          </w:p>
        </w:tc>
        <w:tc>
          <w:tcPr>
            <w:tcW w:w="1817" w:type="dxa"/>
            <w:vAlign w:val="center"/>
            <w:hideMark/>
          </w:tcPr>
          <w:p w14:paraId="0FA9A74F" w14:textId="05842F43" w:rsidR="00466AAA" w:rsidRPr="00105019" w:rsidRDefault="00466AAA" w:rsidP="00AE48C3">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b w:val="0"/>
                <w:bCs w:val="0"/>
                <w:color w:val="FFFFFF"/>
                <w:sz w:val="20"/>
                <w:szCs w:val="20"/>
                <w:lang w:eastAsia="es-CO"/>
              </w:rPr>
            </w:pPr>
            <w:r w:rsidRPr="00105019">
              <w:rPr>
                <w:rFonts w:ascii="Verdana" w:eastAsia="Times New Roman" w:hAnsi="Verdana"/>
                <w:color w:val="FFFFFF"/>
                <w:sz w:val="20"/>
                <w:szCs w:val="20"/>
                <w:lang w:eastAsia="es-CO"/>
              </w:rPr>
              <w:t>Sistema de reporte de emisiones</w:t>
            </w:r>
            <w:r w:rsidR="002425CF">
              <w:rPr>
                <w:rStyle w:val="Refdenotaalpie"/>
                <w:rFonts w:ascii="Verdana" w:eastAsia="Times New Roman" w:hAnsi="Verdana"/>
                <w:color w:val="FFFFFF"/>
                <w:sz w:val="20"/>
                <w:szCs w:val="20"/>
                <w:lang w:eastAsia="es-CO"/>
              </w:rPr>
              <w:footnoteReference w:id="1"/>
            </w:r>
          </w:p>
        </w:tc>
        <w:tc>
          <w:tcPr>
            <w:tcW w:w="1984" w:type="dxa"/>
            <w:vAlign w:val="center"/>
            <w:hideMark/>
          </w:tcPr>
          <w:p w14:paraId="7A8428F5" w14:textId="77777777" w:rsidR="00466AAA" w:rsidRPr="00105019" w:rsidRDefault="00466AAA" w:rsidP="00AE48C3">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b w:val="0"/>
                <w:bCs w:val="0"/>
                <w:color w:val="FFFFFF"/>
                <w:sz w:val="20"/>
                <w:szCs w:val="20"/>
                <w:lang w:eastAsia="es-CO"/>
              </w:rPr>
            </w:pPr>
            <w:r w:rsidRPr="00105019">
              <w:rPr>
                <w:rFonts w:ascii="Verdana" w:eastAsia="Times New Roman" w:hAnsi="Verdana"/>
                <w:color w:val="FFFFFF"/>
                <w:sz w:val="20"/>
                <w:szCs w:val="20"/>
                <w:lang w:eastAsia="es-CO"/>
              </w:rPr>
              <w:t>Nivel de reporte obligatorio</w:t>
            </w:r>
          </w:p>
        </w:tc>
        <w:tc>
          <w:tcPr>
            <w:tcW w:w="3969" w:type="dxa"/>
            <w:vAlign w:val="center"/>
            <w:hideMark/>
          </w:tcPr>
          <w:p w14:paraId="3B24461A" w14:textId="77777777" w:rsidR="00466AAA" w:rsidRPr="00105019" w:rsidRDefault="00466AAA" w:rsidP="00AE48C3">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b w:val="0"/>
                <w:bCs w:val="0"/>
                <w:color w:val="FFFFFF"/>
                <w:sz w:val="20"/>
                <w:szCs w:val="20"/>
                <w:lang w:eastAsia="es-CO"/>
              </w:rPr>
            </w:pPr>
            <w:r w:rsidRPr="00105019">
              <w:rPr>
                <w:rFonts w:ascii="Verdana" w:eastAsia="Times New Roman" w:hAnsi="Verdana"/>
                <w:color w:val="FFFFFF"/>
                <w:sz w:val="20"/>
                <w:szCs w:val="20"/>
                <w:lang w:eastAsia="es-CO"/>
              </w:rPr>
              <w:t>Fuente</w:t>
            </w:r>
          </w:p>
        </w:tc>
      </w:tr>
      <w:tr w:rsidR="00466AAA" w:rsidRPr="00466AAA" w14:paraId="02B54169" w14:textId="77777777" w:rsidTr="00AE48C3">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5AD03C4C" w14:textId="77777777" w:rsidR="00466AAA" w:rsidRPr="00466AAA" w:rsidRDefault="00466AAA" w:rsidP="00AE48C3">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Canadá</w:t>
            </w:r>
          </w:p>
        </w:tc>
        <w:tc>
          <w:tcPr>
            <w:tcW w:w="1817" w:type="dxa"/>
            <w:vAlign w:val="center"/>
            <w:hideMark/>
          </w:tcPr>
          <w:p w14:paraId="01A61C56"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val="en-US" w:eastAsia="es-CO"/>
              </w:rPr>
            </w:pPr>
            <w:r w:rsidRPr="00466AAA">
              <w:rPr>
                <w:rFonts w:ascii="Verdana" w:eastAsia="Times New Roman" w:hAnsi="Verdana"/>
                <w:color w:val="000000"/>
                <w:sz w:val="20"/>
                <w:szCs w:val="20"/>
                <w:lang w:val="en-US" w:eastAsia="es-CO"/>
              </w:rPr>
              <w:t>Greenhouse Gas Reporting Program (GHGRP)</w:t>
            </w:r>
          </w:p>
        </w:tc>
        <w:tc>
          <w:tcPr>
            <w:tcW w:w="1984" w:type="dxa"/>
            <w:vAlign w:val="center"/>
            <w:hideMark/>
          </w:tcPr>
          <w:p w14:paraId="5C99B1DC"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10.000 tCO2e/año</w:t>
            </w:r>
          </w:p>
        </w:tc>
        <w:tc>
          <w:tcPr>
            <w:tcW w:w="3969" w:type="dxa"/>
            <w:vAlign w:val="center"/>
            <w:hideMark/>
          </w:tcPr>
          <w:p w14:paraId="0F491B9E"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563C1"/>
                <w:sz w:val="20"/>
                <w:szCs w:val="20"/>
                <w:u w:val="single"/>
                <w:lang w:eastAsia="es-CO"/>
              </w:rPr>
            </w:pPr>
            <w:hyperlink r:id="rId8" w:tgtFrame="_new" w:history="1">
              <w:r w:rsidRPr="00466AAA">
                <w:rPr>
                  <w:rFonts w:ascii="Verdana" w:eastAsia="Times New Roman" w:hAnsi="Verdana"/>
                  <w:color w:val="0563C1"/>
                  <w:sz w:val="20"/>
                  <w:szCs w:val="20"/>
                  <w:u w:val="single"/>
                  <w:lang w:eastAsia="es-CO"/>
                </w:rPr>
                <w:t xml:space="preserve">https://www.canada.ca/en/environment-climate-change/services/climate-change/greenhouse-gas-emissions/facility-reporting/reporting.html </w:t>
              </w:r>
            </w:hyperlink>
          </w:p>
        </w:tc>
      </w:tr>
      <w:tr w:rsidR="00466AAA" w:rsidRPr="00466AAA" w14:paraId="446BEBEC" w14:textId="77777777" w:rsidTr="00AE48C3">
        <w:trPr>
          <w:trHeight w:val="87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7E9B17C8" w14:textId="77777777" w:rsidR="00466AAA" w:rsidRPr="00466AAA" w:rsidRDefault="00466AAA" w:rsidP="00AE48C3">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Estados Unidos</w:t>
            </w:r>
          </w:p>
        </w:tc>
        <w:tc>
          <w:tcPr>
            <w:tcW w:w="1817" w:type="dxa"/>
            <w:vAlign w:val="center"/>
            <w:hideMark/>
          </w:tcPr>
          <w:p w14:paraId="1EEC4E2B" w14:textId="77777777" w:rsidR="00466AAA" w:rsidRPr="00466AAA" w:rsidRDefault="00466AAA" w:rsidP="00AE48C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val="en-US" w:eastAsia="es-CO"/>
              </w:rPr>
            </w:pPr>
            <w:r w:rsidRPr="00466AAA">
              <w:rPr>
                <w:rFonts w:ascii="Verdana" w:eastAsia="Times New Roman" w:hAnsi="Verdana"/>
                <w:color w:val="000000"/>
                <w:sz w:val="20"/>
                <w:szCs w:val="20"/>
                <w:lang w:val="en-US" w:eastAsia="es-CO"/>
              </w:rPr>
              <w:t>EPA Greenhouse Gas Reporting Program (GHGRP)</w:t>
            </w:r>
          </w:p>
        </w:tc>
        <w:tc>
          <w:tcPr>
            <w:tcW w:w="1984" w:type="dxa"/>
            <w:vAlign w:val="center"/>
            <w:hideMark/>
          </w:tcPr>
          <w:p w14:paraId="6A7F916C" w14:textId="77777777" w:rsidR="00466AAA" w:rsidRPr="00466AAA" w:rsidRDefault="00466AAA" w:rsidP="00AE48C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25.000 tCO2e/año</w:t>
            </w:r>
          </w:p>
        </w:tc>
        <w:tc>
          <w:tcPr>
            <w:tcW w:w="3969" w:type="dxa"/>
            <w:vAlign w:val="center"/>
            <w:hideMark/>
          </w:tcPr>
          <w:p w14:paraId="3AFAD937" w14:textId="77777777" w:rsidR="00466AAA" w:rsidRPr="00466AAA" w:rsidRDefault="00466AAA" w:rsidP="00AE48C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563C1"/>
                <w:sz w:val="20"/>
                <w:szCs w:val="20"/>
                <w:u w:val="single"/>
                <w:lang w:eastAsia="es-CO"/>
              </w:rPr>
            </w:pPr>
            <w:hyperlink r:id="rId9" w:tgtFrame="_new" w:history="1">
              <w:r w:rsidRPr="00466AAA">
                <w:rPr>
                  <w:rFonts w:ascii="Verdana" w:eastAsia="Times New Roman" w:hAnsi="Verdana"/>
                  <w:color w:val="0563C1"/>
                  <w:sz w:val="20"/>
                  <w:szCs w:val="20"/>
                  <w:u w:val="single"/>
                  <w:lang w:eastAsia="es-CO"/>
                </w:rPr>
                <w:t>https://www.epa.gov/ghgreporting</w:t>
              </w:r>
            </w:hyperlink>
          </w:p>
        </w:tc>
      </w:tr>
      <w:tr w:rsidR="00466AAA" w:rsidRPr="00466AAA" w14:paraId="4967B26F" w14:textId="77777777" w:rsidTr="00AE48C3">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7B468782" w14:textId="77777777" w:rsidR="00466AAA" w:rsidRPr="00466AAA" w:rsidRDefault="00466AAA" w:rsidP="00AE48C3">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California (EE. UU.)</w:t>
            </w:r>
          </w:p>
        </w:tc>
        <w:tc>
          <w:tcPr>
            <w:tcW w:w="1817" w:type="dxa"/>
            <w:vAlign w:val="center"/>
            <w:hideMark/>
          </w:tcPr>
          <w:p w14:paraId="5BC99111"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proofErr w:type="spellStart"/>
            <w:r w:rsidRPr="00466AAA">
              <w:rPr>
                <w:rFonts w:ascii="Verdana" w:eastAsia="Times New Roman" w:hAnsi="Verdana"/>
                <w:color w:val="000000"/>
                <w:sz w:val="20"/>
                <w:szCs w:val="20"/>
                <w:lang w:eastAsia="es-CO"/>
              </w:rPr>
              <w:t>Mandatory</w:t>
            </w:r>
            <w:proofErr w:type="spellEnd"/>
            <w:r w:rsidRPr="00466AAA">
              <w:rPr>
                <w:rFonts w:ascii="Verdana" w:eastAsia="Times New Roman" w:hAnsi="Verdana"/>
                <w:color w:val="000000"/>
                <w:sz w:val="20"/>
                <w:szCs w:val="20"/>
                <w:lang w:eastAsia="es-CO"/>
              </w:rPr>
              <w:t xml:space="preserve"> </w:t>
            </w:r>
            <w:proofErr w:type="spellStart"/>
            <w:r w:rsidRPr="00466AAA">
              <w:rPr>
                <w:rFonts w:ascii="Verdana" w:eastAsia="Times New Roman" w:hAnsi="Verdana"/>
                <w:color w:val="000000"/>
                <w:sz w:val="20"/>
                <w:szCs w:val="20"/>
                <w:lang w:eastAsia="es-CO"/>
              </w:rPr>
              <w:t>Reporting</w:t>
            </w:r>
            <w:proofErr w:type="spellEnd"/>
            <w:r w:rsidRPr="00466AAA">
              <w:rPr>
                <w:rFonts w:ascii="Verdana" w:eastAsia="Times New Roman" w:hAnsi="Verdana"/>
                <w:color w:val="000000"/>
                <w:sz w:val="20"/>
                <w:szCs w:val="20"/>
                <w:lang w:eastAsia="es-CO"/>
              </w:rPr>
              <w:t xml:space="preserve"> </w:t>
            </w:r>
            <w:proofErr w:type="spellStart"/>
            <w:r w:rsidRPr="00466AAA">
              <w:rPr>
                <w:rFonts w:ascii="Verdana" w:eastAsia="Times New Roman" w:hAnsi="Verdana"/>
                <w:color w:val="000000"/>
                <w:sz w:val="20"/>
                <w:szCs w:val="20"/>
                <w:lang w:eastAsia="es-CO"/>
              </w:rPr>
              <w:t>Regulation</w:t>
            </w:r>
            <w:proofErr w:type="spellEnd"/>
            <w:r w:rsidRPr="00466AAA">
              <w:rPr>
                <w:rFonts w:ascii="Verdana" w:eastAsia="Times New Roman" w:hAnsi="Verdana"/>
                <w:color w:val="000000"/>
                <w:sz w:val="20"/>
                <w:szCs w:val="20"/>
                <w:lang w:eastAsia="es-CO"/>
              </w:rPr>
              <w:t xml:space="preserve"> (CARB)</w:t>
            </w:r>
          </w:p>
        </w:tc>
        <w:tc>
          <w:tcPr>
            <w:tcW w:w="1984" w:type="dxa"/>
            <w:vAlign w:val="center"/>
            <w:hideMark/>
          </w:tcPr>
          <w:p w14:paraId="5ECF2958"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10.000–25.000 tCO2e/año (dependiendo sector)</w:t>
            </w:r>
          </w:p>
        </w:tc>
        <w:tc>
          <w:tcPr>
            <w:tcW w:w="3969" w:type="dxa"/>
            <w:vAlign w:val="center"/>
            <w:hideMark/>
          </w:tcPr>
          <w:p w14:paraId="4C71EB96"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563C1"/>
                <w:sz w:val="20"/>
                <w:szCs w:val="20"/>
                <w:u w:val="single"/>
                <w:lang w:eastAsia="es-CO"/>
              </w:rPr>
            </w:pPr>
            <w:r w:rsidRPr="00466AAA">
              <w:rPr>
                <w:rFonts w:ascii="Verdana" w:eastAsia="Times New Roman" w:hAnsi="Verdana"/>
                <w:color w:val="0563C1"/>
                <w:sz w:val="20"/>
                <w:szCs w:val="20"/>
                <w:u w:val="single"/>
                <w:lang w:eastAsia="es-CO"/>
              </w:rPr>
              <w:t>https://ww2.arb.ca.gov/our-work/programs/mandatory-greenhouse-gas-emissions-reporting/about</w:t>
            </w:r>
          </w:p>
        </w:tc>
      </w:tr>
      <w:tr w:rsidR="00466AAA" w:rsidRPr="00466AAA" w14:paraId="0E0A43E6" w14:textId="77777777" w:rsidTr="00AE48C3">
        <w:trPr>
          <w:trHeight w:val="58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2A35171B" w14:textId="77777777" w:rsidR="00466AAA" w:rsidRPr="00466AAA" w:rsidRDefault="00466AAA" w:rsidP="00AE48C3">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lastRenderedPageBreak/>
              <w:t>México</w:t>
            </w:r>
          </w:p>
        </w:tc>
        <w:tc>
          <w:tcPr>
            <w:tcW w:w="1817" w:type="dxa"/>
            <w:vAlign w:val="center"/>
            <w:hideMark/>
          </w:tcPr>
          <w:p w14:paraId="51C424EC" w14:textId="77777777" w:rsidR="00466AAA" w:rsidRPr="00466AAA" w:rsidRDefault="00466AAA" w:rsidP="00AE48C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Registro Nacional de Emisiones (RENE)</w:t>
            </w:r>
          </w:p>
        </w:tc>
        <w:tc>
          <w:tcPr>
            <w:tcW w:w="1984" w:type="dxa"/>
            <w:vAlign w:val="center"/>
            <w:hideMark/>
          </w:tcPr>
          <w:p w14:paraId="6CC961D3" w14:textId="77777777" w:rsidR="00466AAA" w:rsidRPr="00466AAA" w:rsidRDefault="00466AAA" w:rsidP="00AE48C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25.000 tCO2e/año</w:t>
            </w:r>
          </w:p>
        </w:tc>
        <w:tc>
          <w:tcPr>
            <w:tcW w:w="3969" w:type="dxa"/>
            <w:vAlign w:val="center"/>
            <w:hideMark/>
          </w:tcPr>
          <w:p w14:paraId="04BAD1AB" w14:textId="77777777" w:rsidR="00466AAA" w:rsidRPr="00466AAA" w:rsidRDefault="00466AAA" w:rsidP="00AE48C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563C1"/>
                <w:sz w:val="20"/>
                <w:szCs w:val="20"/>
                <w:u w:val="single"/>
                <w:lang w:eastAsia="es-CO"/>
              </w:rPr>
            </w:pPr>
            <w:hyperlink r:id="rId10" w:tgtFrame="_new" w:history="1">
              <w:r w:rsidRPr="00466AAA">
                <w:rPr>
                  <w:rFonts w:ascii="Verdana" w:eastAsia="Times New Roman" w:hAnsi="Verdana"/>
                  <w:color w:val="0563C1"/>
                  <w:sz w:val="20"/>
                  <w:szCs w:val="20"/>
                  <w:u w:val="single"/>
                  <w:lang w:eastAsia="es-CO"/>
                </w:rPr>
                <w:t xml:space="preserve">https://www.gob.mx/semarnat </w:t>
              </w:r>
            </w:hyperlink>
            <w:r w:rsidRPr="00466AAA">
              <w:rPr>
                <w:rFonts w:ascii="Verdana" w:hAnsi="Verdana"/>
                <w:sz w:val="20"/>
                <w:szCs w:val="20"/>
              </w:rPr>
              <w:t xml:space="preserve"> </w:t>
            </w:r>
            <w:r w:rsidRPr="00466AAA">
              <w:rPr>
                <w:rFonts w:ascii="Verdana" w:eastAsia="Times New Roman" w:hAnsi="Verdana"/>
                <w:color w:val="0563C1"/>
                <w:sz w:val="20"/>
                <w:szCs w:val="20"/>
                <w:u w:val="single"/>
                <w:lang w:eastAsia="es-CO"/>
              </w:rPr>
              <w:t>https://www.gob.mx/semarnat/acciones-y-programas/registro-nacional-de-emisiones-rene</w:t>
            </w:r>
          </w:p>
        </w:tc>
      </w:tr>
      <w:tr w:rsidR="00466AAA" w:rsidRPr="00466AAA" w14:paraId="16DB9E89" w14:textId="77777777" w:rsidTr="00AE48C3">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3ADB7990" w14:textId="77777777" w:rsidR="00466AAA" w:rsidRPr="00466AAA" w:rsidRDefault="00466AAA" w:rsidP="00AE48C3">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Unión Europea</w:t>
            </w:r>
          </w:p>
        </w:tc>
        <w:tc>
          <w:tcPr>
            <w:tcW w:w="1817" w:type="dxa"/>
            <w:vAlign w:val="center"/>
            <w:hideMark/>
          </w:tcPr>
          <w:p w14:paraId="10D36D32"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xml:space="preserve">EU ETS (MRV </w:t>
            </w:r>
            <w:proofErr w:type="spellStart"/>
            <w:r w:rsidRPr="00466AAA">
              <w:rPr>
                <w:rFonts w:ascii="Verdana" w:eastAsia="Times New Roman" w:hAnsi="Verdana"/>
                <w:color w:val="000000"/>
                <w:sz w:val="20"/>
                <w:szCs w:val="20"/>
                <w:lang w:eastAsia="es-CO"/>
              </w:rPr>
              <w:t>Regulation</w:t>
            </w:r>
            <w:proofErr w:type="spellEnd"/>
            <w:r w:rsidRPr="00466AAA">
              <w:rPr>
                <w:rFonts w:ascii="Verdana" w:eastAsia="Times New Roman" w:hAnsi="Verdana"/>
                <w:color w:val="000000"/>
                <w:sz w:val="20"/>
                <w:szCs w:val="20"/>
                <w:lang w:eastAsia="es-CO"/>
              </w:rPr>
              <w:t>)</w:t>
            </w:r>
          </w:p>
        </w:tc>
        <w:tc>
          <w:tcPr>
            <w:tcW w:w="1984" w:type="dxa"/>
            <w:vAlign w:val="center"/>
            <w:hideMark/>
          </w:tcPr>
          <w:p w14:paraId="1A10CF83"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Diferenciado para cada sector incluido (En todo caso ≈&gt;10.000 tCO2e/año)</w:t>
            </w:r>
          </w:p>
        </w:tc>
        <w:tc>
          <w:tcPr>
            <w:tcW w:w="3969" w:type="dxa"/>
            <w:vAlign w:val="center"/>
            <w:hideMark/>
          </w:tcPr>
          <w:p w14:paraId="11F59ED9" w14:textId="77777777" w:rsidR="00466AAA" w:rsidRPr="00466AAA" w:rsidRDefault="00466AAA" w:rsidP="00AE48C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563C1"/>
                <w:sz w:val="20"/>
                <w:szCs w:val="20"/>
                <w:u w:val="single"/>
                <w:lang w:eastAsia="es-CO"/>
              </w:rPr>
            </w:pPr>
            <w:r w:rsidRPr="00466AAA">
              <w:rPr>
                <w:rFonts w:ascii="Verdana" w:eastAsia="Times New Roman" w:hAnsi="Verdana"/>
                <w:color w:val="0563C1"/>
                <w:sz w:val="20"/>
                <w:szCs w:val="20"/>
                <w:u w:val="single"/>
                <w:lang w:eastAsia="es-CO"/>
              </w:rPr>
              <w:t>https://climate.ec.europa.eu/eu-action/carbon-markets/eu-emissions-trading-system-eu-ets_en</w:t>
            </w:r>
          </w:p>
        </w:tc>
      </w:tr>
      <w:tr w:rsidR="001543F8" w:rsidRPr="002F186E" w14:paraId="5446C928" w14:textId="77777777" w:rsidTr="00AE48C3">
        <w:trPr>
          <w:trHeight w:val="145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025DADFD" w14:textId="77777777" w:rsidR="001543F8" w:rsidRPr="00466AAA" w:rsidRDefault="001543F8" w:rsidP="001543F8">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Reino Unido</w:t>
            </w:r>
          </w:p>
        </w:tc>
        <w:tc>
          <w:tcPr>
            <w:tcW w:w="1817" w:type="dxa"/>
            <w:vAlign w:val="center"/>
            <w:hideMark/>
          </w:tcPr>
          <w:p w14:paraId="5EE86992" w14:textId="77777777"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UK ETS / SECR</w:t>
            </w:r>
          </w:p>
        </w:tc>
        <w:tc>
          <w:tcPr>
            <w:tcW w:w="1984" w:type="dxa"/>
            <w:vAlign w:val="center"/>
            <w:hideMark/>
          </w:tcPr>
          <w:p w14:paraId="1526FBC2" w14:textId="77777777" w:rsidR="001543F8" w:rsidRPr="002F186E"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val="pt-PT" w:eastAsia="es-CO"/>
              </w:rPr>
            </w:pPr>
            <w:r w:rsidRPr="002F186E">
              <w:rPr>
                <w:rFonts w:ascii="Verdana" w:eastAsia="Times New Roman" w:hAnsi="Verdana"/>
                <w:color w:val="000000"/>
                <w:sz w:val="20"/>
                <w:szCs w:val="20"/>
                <w:lang w:val="pt-PT" w:eastAsia="es-CO"/>
              </w:rPr>
              <w:t>Similar a EU ETS (Ultra-small emitters (USEs) = menos de 2.500 tCO2e)</w:t>
            </w:r>
          </w:p>
        </w:tc>
        <w:tc>
          <w:tcPr>
            <w:tcW w:w="3969" w:type="dxa"/>
            <w:vAlign w:val="center"/>
            <w:hideMark/>
          </w:tcPr>
          <w:p w14:paraId="1394F34F" w14:textId="666D52BB"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563C1"/>
                <w:sz w:val="20"/>
                <w:szCs w:val="20"/>
                <w:u w:val="single"/>
                <w:lang w:val="en-US" w:eastAsia="es-CO"/>
              </w:rPr>
            </w:pPr>
            <w:r w:rsidRPr="002F186E">
              <w:rPr>
                <w:rFonts w:ascii="Verdana" w:eastAsia="Times New Roman" w:hAnsi="Verdana"/>
                <w:color w:val="0563C1"/>
                <w:sz w:val="20"/>
                <w:szCs w:val="20"/>
                <w:u w:val="single"/>
                <w:lang w:val="pt-PT" w:eastAsia="es-CO"/>
              </w:rPr>
              <w:t xml:space="preserve"> </w:t>
            </w:r>
            <w:r w:rsidR="000F3F5A">
              <w:fldChar w:fldCharType="begin"/>
            </w:r>
            <w:r w:rsidR="000F3F5A" w:rsidRPr="000F3F5A">
              <w:rPr>
                <w:lang w:val="en-GB"/>
              </w:rPr>
              <w:instrText>HYPERLINK "https://www.gov.uk/government"</w:instrText>
            </w:r>
            <w:r w:rsidR="000F3F5A">
              <w:fldChar w:fldCharType="separate"/>
            </w:r>
            <w:r w:rsidR="000F3F5A" w:rsidRPr="00466AAA">
              <w:rPr>
                <w:rStyle w:val="Hipervnculo"/>
                <w:rFonts w:ascii="Verdana" w:eastAsia="Times New Roman" w:hAnsi="Verdana"/>
                <w:sz w:val="20"/>
                <w:szCs w:val="20"/>
                <w:lang w:val="en-US" w:eastAsia="es-CO"/>
              </w:rPr>
              <w:t>https://www.gov.uk/government</w:t>
            </w:r>
            <w:r w:rsidR="000F3F5A">
              <w:fldChar w:fldCharType="end"/>
            </w:r>
            <w:r w:rsidR="000F3F5A" w:rsidRPr="00466AAA">
              <w:rPr>
                <w:rFonts w:ascii="Verdana" w:eastAsia="Times New Roman" w:hAnsi="Verdana"/>
                <w:color w:val="0563C1"/>
                <w:sz w:val="20"/>
                <w:szCs w:val="20"/>
                <w:u w:val="single"/>
                <w:lang w:val="en-US" w:eastAsia="es-CO"/>
              </w:rPr>
              <w:t xml:space="preserve"> /publications/participating-in-the-uk-ets/participating-in-the-uk-ets#simplified-provisions-for-installations-with-lower-emissions</w:t>
            </w:r>
          </w:p>
        </w:tc>
      </w:tr>
      <w:tr w:rsidR="001543F8" w:rsidRPr="00466AAA" w14:paraId="3B60B0AD" w14:textId="77777777" w:rsidTr="00407C5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3A9FEADC" w14:textId="77777777" w:rsidR="001543F8" w:rsidRPr="00466AAA" w:rsidRDefault="001543F8" w:rsidP="001543F8">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Australia</w:t>
            </w:r>
          </w:p>
        </w:tc>
        <w:tc>
          <w:tcPr>
            <w:tcW w:w="1817" w:type="dxa"/>
            <w:vAlign w:val="center"/>
            <w:hideMark/>
          </w:tcPr>
          <w:p w14:paraId="2401BFE8" w14:textId="77777777" w:rsidR="001543F8" w:rsidRPr="00466AAA" w:rsidRDefault="001543F8" w:rsidP="001543F8">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val="en-US" w:eastAsia="es-CO"/>
              </w:rPr>
            </w:pPr>
            <w:r w:rsidRPr="00466AAA">
              <w:rPr>
                <w:rFonts w:ascii="Verdana" w:eastAsia="Times New Roman" w:hAnsi="Verdana"/>
                <w:color w:val="000000"/>
                <w:sz w:val="20"/>
                <w:szCs w:val="20"/>
                <w:lang w:val="en-US" w:eastAsia="es-CO"/>
              </w:rPr>
              <w:t>National Greenhouse and Energy Reporting (NGER)</w:t>
            </w:r>
          </w:p>
        </w:tc>
        <w:tc>
          <w:tcPr>
            <w:tcW w:w="1984" w:type="dxa"/>
            <w:vAlign w:val="center"/>
            <w:hideMark/>
          </w:tcPr>
          <w:p w14:paraId="722BF3C8" w14:textId="77777777" w:rsidR="001543F8" w:rsidRPr="00466AAA" w:rsidRDefault="001543F8" w:rsidP="001543F8">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25.000 tCO2e/año (instalación) / ≥ 50.000 empresa</w:t>
            </w:r>
          </w:p>
        </w:tc>
        <w:tc>
          <w:tcPr>
            <w:tcW w:w="3969" w:type="dxa"/>
            <w:vAlign w:val="center"/>
            <w:hideMark/>
          </w:tcPr>
          <w:p w14:paraId="1B342AF5" w14:textId="77777777" w:rsidR="001543F8" w:rsidRPr="00466AAA" w:rsidRDefault="001543F8" w:rsidP="001543F8">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563C1"/>
                <w:sz w:val="20"/>
                <w:szCs w:val="20"/>
                <w:u w:val="single"/>
                <w:lang w:eastAsia="es-CO"/>
              </w:rPr>
            </w:pPr>
            <w:r w:rsidRPr="00466AAA">
              <w:rPr>
                <w:rFonts w:ascii="Verdana" w:eastAsia="Times New Roman" w:hAnsi="Verdana"/>
                <w:color w:val="0563C1"/>
                <w:sz w:val="20"/>
                <w:szCs w:val="20"/>
                <w:u w:val="single"/>
                <w:lang w:eastAsia="es-CO"/>
              </w:rPr>
              <w:t>https://cer.gov.au/schemes/national-greenhouse-and-energy-reporting-scheme</w:t>
            </w:r>
          </w:p>
        </w:tc>
      </w:tr>
      <w:tr w:rsidR="001543F8" w:rsidRPr="00466AAA" w14:paraId="217E99A3" w14:textId="77777777" w:rsidTr="00AE48C3">
        <w:trPr>
          <w:trHeight w:val="58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0766B51E" w14:textId="77777777" w:rsidR="001543F8" w:rsidRPr="00466AAA" w:rsidRDefault="001543F8" w:rsidP="001543F8">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China</w:t>
            </w:r>
          </w:p>
        </w:tc>
        <w:tc>
          <w:tcPr>
            <w:tcW w:w="1817" w:type="dxa"/>
            <w:vAlign w:val="center"/>
            <w:hideMark/>
          </w:tcPr>
          <w:p w14:paraId="0A3EF254" w14:textId="77777777"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Sistemas MRV (ETS nacional y pilotos)</w:t>
            </w:r>
          </w:p>
        </w:tc>
        <w:tc>
          <w:tcPr>
            <w:tcW w:w="1984" w:type="dxa"/>
            <w:vAlign w:val="center"/>
            <w:hideMark/>
          </w:tcPr>
          <w:p w14:paraId="2BE33D5C" w14:textId="77777777"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Niveles sectoriales (26.000 tCO2e típicos)</w:t>
            </w:r>
          </w:p>
        </w:tc>
        <w:tc>
          <w:tcPr>
            <w:tcW w:w="3969" w:type="dxa"/>
            <w:vAlign w:val="center"/>
            <w:hideMark/>
          </w:tcPr>
          <w:p w14:paraId="47B5B8C8" w14:textId="77777777"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563C1"/>
                <w:sz w:val="20"/>
                <w:szCs w:val="20"/>
                <w:u w:val="single"/>
                <w:lang w:eastAsia="es-CO"/>
              </w:rPr>
            </w:pPr>
            <w:r w:rsidRPr="00466AAA">
              <w:rPr>
                <w:rFonts w:ascii="Verdana" w:eastAsia="Times New Roman" w:hAnsi="Verdana"/>
                <w:color w:val="0563C1"/>
                <w:sz w:val="20"/>
                <w:szCs w:val="20"/>
                <w:u w:val="single"/>
                <w:lang w:eastAsia="es-CO"/>
              </w:rPr>
              <w:t>https://icapcarbonaction.com/en/ets/china-national-ets</w:t>
            </w:r>
          </w:p>
        </w:tc>
      </w:tr>
      <w:tr w:rsidR="001543F8" w:rsidRPr="00466AAA" w14:paraId="644642A1" w14:textId="77777777" w:rsidTr="00AE48C3">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10D8D8E9" w14:textId="77777777" w:rsidR="001543F8" w:rsidRPr="00466AAA" w:rsidRDefault="001543F8" w:rsidP="001543F8">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Nueva Zelanda</w:t>
            </w:r>
          </w:p>
        </w:tc>
        <w:tc>
          <w:tcPr>
            <w:tcW w:w="1817" w:type="dxa"/>
            <w:vAlign w:val="center"/>
            <w:hideMark/>
          </w:tcPr>
          <w:p w14:paraId="6A061C30" w14:textId="77777777" w:rsidR="001543F8" w:rsidRPr="00466AAA" w:rsidRDefault="001543F8" w:rsidP="001543F8">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 xml:space="preserve">NZ ETS </w:t>
            </w:r>
            <w:proofErr w:type="spellStart"/>
            <w:r w:rsidRPr="00466AAA">
              <w:rPr>
                <w:rFonts w:ascii="Verdana" w:eastAsia="Times New Roman" w:hAnsi="Verdana"/>
                <w:color w:val="000000"/>
                <w:sz w:val="20"/>
                <w:szCs w:val="20"/>
                <w:lang w:eastAsia="es-CO"/>
              </w:rPr>
              <w:t>reporting</w:t>
            </w:r>
            <w:proofErr w:type="spellEnd"/>
          </w:p>
        </w:tc>
        <w:tc>
          <w:tcPr>
            <w:tcW w:w="1984" w:type="dxa"/>
            <w:vAlign w:val="center"/>
            <w:hideMark/>
          </w:tcPr>
          <w:p w14:paraId="07744A76" w14:textId="77777777" w:rsidR="001543F8" w:rsidRPr="00466AAA" w:rsidRDefault="001543F8" w:rsidP="001543F8">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Depende de actividad (sin nivel único)</w:t>
            </w:r>
          </w:p>
        </w:tc>
        <w:tc>
          <w:tcPr>
            <w:tcW w:w="3969" w:type="dxa"/>
            <w:vAlign w:val="center"/>
            <w:hideMark/>
          </w:tcPr>
          <w:p w14:paraId="13594F5C" w14:textId="77777777" w:rsidR="001543F8" w:rsidRPr="00466AAA" w:rsidRDefault="001543F8" w:rsidP="001543F8">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0563C1"/>
                <w:sz w:val="20"/>
                <w:szCs w:val="20"/>
                <w:u w:val="single"/>
                <w:lang w:eastAsia="es-CO"/>
              </w:rPr>
            </w:pPr>
            <w:r w:rsidRPr="00466AAA">
              <w:rPr>
                <w:rFonts w:ascii="Verdana" w:eastAsia="Times New Roman" w:hAnsi="Verdana"/>
                <w:color w:val="0563C1"/>
                <w:sz w:val="20"/>
                <w:szCs w:val="20"/>
                <w:u w:val="single"/>
                <w:lang w:eastAsia="es-CO"/>
              </w:rPr>
              <w:t>https://icapcarbonaction.com/en/ets/new-zealand-emissions-trading-scheme</w:t>
            </w:r>
          </w:p>
        </w:tc>
      </w:tr>
      <w:tr w:rsidR="001543F8" w:rsidRPr="00466AAA" w14:paraId="53FAF56F" w14:textId="77777777" w:rsidTr="00AE48C3">
        <w:trPr>
          <w:trHeight w:val="580"/>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7676FBE4" w14:textId="77777777" w:rsidR="001543F8" w:rsidRPr="00466AAA" w:rsidRDefault="001543F8" w:rsidP="001543F8">
            <w:pPr>
              <w:jc w:val="both"/>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Sudáfrica</w:t>
            </w:r>
          </w:p>
        </w:tc>
        <w:tc>
          <w:tcPr>
            <w:tcW w:w="1817" w:type="dxa"/>
            <w:vAlign w:val="center"/>
            <w:hideMark/>
          </w:tcPr>
          <w:p w14:paraId="4DAA5F20" w14:textId="77777777"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proofErr w:type="spellStart"/>
            <w:r w:rsidRPr="00466AAA">
              <w:rPr>
                <w:rFonts w:ascii="Verdana" w:eastAsia="Times New Roman" w:hAnsi="Verdana"/>
                <w:color w:val="000000"/>
                <w:sz w:val="20"/>
                <w:szCs w:val="20"/>
                <w:lang w:eastAsia="es-CO"/>
              </w:rPr>
              <w:t>National</w:t>
            </w:r>
            <w:proofErr w:type="spellEnd"/>
            <w:r w:rsidRPr="00466AAA">
              <w:rPr>
                <w:rFonts w:ascii="Verdana" w:eastAsia="Times New Roman" w:hAnsi="Verdana"/>
                <w:color w:val="000000"/>
                <w:sz w:val="20"/>
                <w:szCs w:val="20"/>
                <w:lang w:eastAsia="es-CO"/>
              </w:rPr>
              <w:t xml:space="preserve"> GHG </w:t>
            </w:r>
            <w:proofErr w:type="spellStart"/>
            <w:r w:rsidRPr="00466AAA">
              <w:rPr>
                <w:rFonts w:ascii="Verdana" w:eastAsia="Times New Roman" w:hAnsi="Verdana"/>
                <w:color w:val="000000"/>
                <w:sz w:val="20"/>
                <w:szCs w:val="20"/>
                <w:lang w:eastAsia="es-CO"/>
              </w:rPr>
              <w:t>Reporting</w:t>
            </w:r>
            <w:proofErr w:type="spellEnd"/>
            <w:r w:rsidRPr="00466AAA">
              <w:rPr>
                <w:rFonts w:ascii="Verdana" w:eastAsia="Times New Roman" w:hAnsi="Verdana"/>
                <w:color w:val="000000"/>
                <w:sz w:val="20"/>
                <w:szCs w:val="20"/>
                <w:lang w:eastAsia="es-CO"/>
              </w:rPr>
              <w:t xml:space="preserve"> </w:t>
            </w:r>
            <w:proofErr w:type="spellStart"/>
            <w:r w:rsidRPr="00466AAA">
              <w:rPr>
                <w:rFonts w:ascii="Verdana" w:eastAsia="Times New Roman" w:hAnsi="Verdana"/>
                <w:color w:val="000000"/>
                <w:sz w:val="20"/>
                <w:szCs w:val="20"/>
                <w:lang w:eastAsia="es-CO"/>
              </w:rPr>
              <w:t>Regulations</w:t>
            </w:r>
            <w:proofErr w:type="spellEnd"/>
          </w:p>
        </w:tc>
        <w:tc>
          <w:tcPr>
            <w:tcW w:w="1984" w:type="dxa"/>
            <w:vAlign w:val="center"/>
            <w:hideMark/>
          </w:tcPr>
          <w:p w14:paraId="1C102DDD" w14:textId="3BD077FF"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r w:rsidRPr="00466AAA">
              <w:rPr>
                <w:rFonts w:ascii="Verdana" w:eastAsia="Times New Roman" w:hAnsi="Verdana"/>
                <w:color w:val="000000"/>
                <w:sz w:val="20"/>
                <w:szCs w:val="20"/>
                <w:lang w:eastAsia="es-CO"/>
              </w:rPr>
              <w:t>≥10.000 tCO2e/año</w:t>
            </w:r>
          </w:p>
        </w:tc>
        <w:tc>
          <w:tcPr>
            <w:tcW w:w="3969" w:type="dxa"/>
            <w:vAlign w:val="center"/>
            <w:hideMark/>
          </w:tcPr>
          <w:p w14:paraId="33BC2598" w14:textId="35D47B96" w:rsidR="001543F8" w:rsidRPr="00466AAA" w:rsidRDefault="001543F8" w:rsidP="001543F8">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000000"/>
                <w:sz w:val="20"/>
                <w:szCs w:val="20"/>
                <w:lang w:eastAsia="es-CO"/>
              </w:rPr>
            </w:pPr>
            <w:hyperlink r:id="rId11" w:history="1">
              <w:r w:rsidRPr="00466AAA">
                <w:rPr>
                  <w:rStyle w:val="Hipervnculo"/>
                  <w:rFonts w:ascii="Verdana" w:eastAsia="Times New Roman" w:hAnsi="Verdana"/>
                  <w:sz w:val="20"/>
                  <w:szCs w:val="20"/>
                  <w:lang w:eastAsia="es-CO"/>
                </w:rPr>
                <w:t>https://climate-laws.org/document/national-greenhouse-gas-emissions-reporting-regulations-2016_e4c8</w:t>
              </w:r>
            </w:hyperlink>
          </w:p>
        </w:tc>
      </w:tr>
    </w:tbl>
    <w:p w14:paraId="34E4A019" w14:textId="77777777" w:rsidR="00466AAA" w:rsidRDefault="00466AAA" w:rsidP="00806FCB">
      <w:pPr>
        <w:spacing w:after="120" w:line="240" w:lineRule="auto"/>
        <w:jc w:val="both"/>
        <w:rPr>
          <w:rFonts w:ascii="Verdana" w:eastAsia="Arial" w:hAnsi="Verdana" w:cs="Arial"/>
        </w:rPr>
      </w:pPr>
    </w:p>
    <w:p w14:paraId="41C4F817" w14:textId="77777777" w:rsidR="007B28BC" w:rsidRDefault="007B28BC" w:rsidP="005D3A67">
      <w:pPr>
        <w:spacing w:after="120" w:line="240" w:lineRule="auto"/>
        <w:jc w:val="both"/>
        <w:rPr>
          <w:rFonts w:ascii="Verdana" w:eastAsia="Verdana" w:hAnsi="Verdana" w:cs="Verdana"/>
        </w:rPr>
      </w:pPr>
      <w:r w:rsidRPr="007B28BC">
        <w:rPr>
          <w:rFonts w:ascii="Verdana" w:eastAsia="Verdana" w:hAnsi="Verdana" w:cs="Verdana"/>
        </w:rPr>
        <w:t>Es importante señalar que algunos esquemas internacionales incluidos como referencia comparativa, particularmente aquellos asociados a sistemas de comercio de emisiones, operan bajo criterios de inclusión sectorial y reglas regulatorias específicas, por lo cual no constituyen comparadores directos de los niveles de emisiones utilizados en sistemas generales de reporte obligatorio a nivel de entidad. No obstante, su consideración permite evidenciar la existencia de criterios de entrada en rangos similares en otros instrumentos regulatorios de gestión climática, así como la relevancia de contar con información estandarizada, consistente y verificable como base para la implementación de instrumentos de política climática más complejos.</w:t>
      </w:r>
    </w:p>
    <w:p w14:paraId="0309CAF7" w14:textId="19EA04C0" w:rsidR="005D3A67" w:rsidRPr="005D3A67" w:rsidRDefault="005D3A67" w:rsidP="005D3A67">
      <w:pPr>
        <w:spacing w:after="120" w:line="240" w:lineRule="auto"/>
        <w:jc w:val="both"/>
        <w:rPr>
          <w:rFonts w:ascii="Verdana" w:eastAsia="Verdana" w:hAnsi="Verdana" w:cs="Verdana"/>
          <w:lang w:val="es-419"/>
        </w:rPr>
      </w:pPr>
      <w:r w:rsidRPr="005D3A67">
        <w:rPr>
          <w:rFonts w:ascii="Verdana" w:eastAsia="Verdana" w:hAnsi="Verdana" w:cs="Verdana"/>
          <w:lang w:val="es-419"/>
        </w:rPr>
        <w:lastRenderedPageBreak/>
        <w:t xml:space="preserve">En este sentido, el nivel de emisiones de 11.000 </w:t>
      </w:r>
      <w:proofErr w:type="spellStart"/>
      <w:r w:rsidRPr="005D3A67">
        <w:rPr>
          <w:rFonts w:ascii="Verdana" w:eastAsia="Verdana" w:hAnsi="Verdana" w:cs="Verdana"/>
          <w:lang w:val="es-419"/>
        </w:rPr>
        <w:t>tCO₂e</w:t>
      </w:r>
      <w:proofErr w:type="spellEnd"/>
      <w:r w:rsidRPr="005D3A67">
        <w:rPr>
          <w:rFonts w:ascii="Verdana" w:eastAsia="Verdana" w:hAnsi="Verdana" w:cs="Verdana"/>
          <w:lang w:val="es-419"/>
        </w:rPr>
        <w:t>/año representa una adaptación técnicamente fundamentada de rangos observados en otras jurisdicciones, ajustada a las condiciones institucionales, económicas y sectoriales de Colombia.</w:t>
      </w:r>
    </w:p>
    <w:p w14:paraId="63D9BFBB" w14:textId="246D5AA8" w:rsidR="00806FCB" w:rsidRPr="00D8190F" w:rsidRDefault="00806FCB" w:rsidP="00806FCB">
      <w:pPr>
        <w:spacing w:after="120" w:line="240" w:lineRule="auto"/>
        <w:jc w:val="both"/>
        <w:rPr>
          <w:rFonts w:ascii="Verdana" w:eastAsia="Arial" w:hAnsi="Verdana" w:cs="Arial"/>
        </w:rPr>
      </w:pPr>
      <w:r w:rsidRPr="00806FCB">
        <w:rPr>
          <w:rFonts w:ascii="Verdana" w:eastAsia="Arial" w:hAnsi="Verdana" w:cs="Arial"/>
        </w:rPr>
        <w:t xml:space="preserve">En consecuencia, la definición del nivel de emisiones de 11.000 </w:t>
      </w:r>
      <w:proofErr w:type="spellStart"/>
      <w:r w:rsidRPr="00806FCB">
        <w:rPr>
          <w:rFonts w:ascii="Verdana" w:eastAsia="Arial" w:hAnsi="Verdana" w:cs="Arial"/>
        </w:rPr>
        <w:t>tCO₂e</w:t>
      </w:r>
      <w:proofErr w:type="spellEnd"/>
      <w:r w:rsidRPr="00806FCB">
        <w:rPr>
          <w:rFonts w:ascii="Verdana" w:eastAsia="Arial" w:hAnsi="Verdana" w:cs="Arial"/>
        </w:rPr>
        <w:t xml:space="preserve">/año como criterio para determinar la obligación de reporte en el marco del ROE </w:t>
      </w:r>
      <w:r w:rsidR="001854F4" w:rsidRPr="001854F4">
        <w:rPr>
          <w:rFonts w:ascii="Verdana" w:eastAsia="Arial" w:hAnsi="Verdana" w:cs="Arial"/>
        </w:rPr>
        <w:t xml:space="preserve">constituye una decisión técnica, regulatoria y operativamente </w:t>
      </w:r>
      <w:r w:rsidR="00A62488">
        <w:rPr>
          <w:rFonts w:ascii="Verdana" w:eastAsia="Arial" w:hAnsi="Verdana" w:cs="Arial"/>
        </w:rPr>
        <w:t>sustentada</w:t>
      </w:r>
      <w:r w:rsidRPr="00806FCB">
        <w:rPr>
          <w:rFonts w:ascii="Verdana" w:eastAsia="Arial" w:hAnsi="Verdana" w:cs="Arial"/>
        </w:rPr>
        <w:t>, en la medida en que permite equilibrar de manera adecuada la cobertura del sistema, la proporcionalidad de las cargas regulatorias, la viabilidad de implementación y la utilidad estratégica de la información generada para la política climática nacional.</w:t>
      </w:r>
    </w:p>
    <w:p w14:paraId="65B8BAF7" w14:textId="66A1832A" w:rsidR="008C316F" w:rsidRPr="008C06E0" w:rsidRDefault="00D8190F" w:rsidP="00D8190F">
      <w:pPr>
        <w:pStyle w:val="Ttulo1"/>
        <w:jc w:val="both"/>
        <w:rPr>
          <w:rFonts w:ascii="Verdana" w:hAnsi="Verdana"/>
          <w:b/>
          <w:bCs/>
          <w:sz w:val="22"/>
          <w:szCs w:val="22"/>
          <w:lang w:val="es-419"/>
        </w:rPr>
      </w:pPr>
      <w:r w:rsidRPr="008C06E0">
        <w:rPr>
          <w:rFonts w:ascii="Verdana" w:hAnsi="Verdana"/>
          <w:b/>
          <w:bCs/>
          <w:sz w:val="22"/>
          <w:szCs w:val="22"/>
          <w:lang w:val="es-419"/>
        </w:rPr>
        <w:t xml:space="preserve">5. </w:t>
      </w:r>
      <w:r w:rsidR="008C316F" w:rsidRPr="008C06E0">
        <w:rPr>
          <w:rFonts w:ascii="Verdana" w:hAnsi="Verdana"/>
          <w:b/>
          <w:bCs/>
          <w:sz w:val="22"/>
          <w:szCs w:val="22"/>
          <w:lang w:val="es-419"/>
        </w:rPr>
        <w:t>Justificación de la autodeclaración de emisiones de GEI para organizaciones que no superan el nivel de emisiones</w:t>
      </w:r>
    </w:p>
    <w:p w14:paraId="61EC8938" w14:textId="0077990D" w:rsidR="00C378AB" w:rsidRPr="008C06E0" w:rsidRDefault="00C378AB" w:rsidP="007E32C2">
      <w:pPr>
        <w:jc w:val="both"/>
        <w:rPr>
          <w:rFonts w:ascii="Verdana" w:eastAsia="Arial" w:hAnsi="Verdana" w:cs="Arial"/>
        </w:rPr>
      </w:pPr>
      <w:r w:rsidRPr="008C06E0">
        <w:rPr>
          <w:rFonts w:ascii="Verdana" w:eastAsia="Arial" w:hAnsi="Verdana" w:cs="Arial"/>
        </w:rPr>
        <w:t xml:space="preserve">La definición de un nivel de emisiones de GEI como criterio para determinar la obligación de reporte en el marco del Reporte Obligatorio de Emisiones de GEI (ROE) </w:t>
      </w:r>
      <w:r w:rsidR="00B5425C" w:rsidRPr="008C06E0">
        <w:rPr>
          <w:rFonts w:ascii="Verdana" w:eastAsia="Arial" w:hAnsi="Verdana" w:cs="Arial"/>
        </w:rPr>
        <w:t xml:space="preserve">requiere la existencia de mecanismos que permitan determinar de manera objetiva el cumplimiento de dicho criterio </w:t>
      </w:r>
      <w:r w:rsidRPr="008C06E0">
        <w:rPr>
          <w:rFonts w:ascii="Verdana" w:eastAsia="Arial" w:hAnsi="Verdana" w:cs="Arial"/>
        </w:rPr>
        <w:t xml:space="preserve">por parte de las personas jurídicas públicas, privadas o mixtas. En este sentido, la sola existencia de un nivel de emisiones no resulta suficiente para determinar el universo de sujetos obligados, en la medida en que el Ministerio de Ambiente y Desarrollo Sostenible requiere contar con información mínima que permita establecer si la ausencia de un reporte de emisiones obedece efectivamente a que la </w:t>
      </w:r>
      <w:r w:rsidR="006F0DA1" w:rsidRPr="008C06E0">
        <w:rPr>
          <w:rFonts w:ascii="Verdana" w:eastAsia="Arial" w:hAnsi="Verdana" w:cs="Arial"/>
        </w:rPr>
        <w:t>persona jurídica</w:t>
      </w:r>
      <w:r w:rsidRPr="008C06E0">
        <w:rPr>
          <w:rFonts w:ascii="Verdana" w:eastAsia="Arial" w:hAnsi="Verdana" w:cs="Arial"/>
        </w:rPr>
        <w:t xml:space="preserve"> no supera el nivel de emisiones definido en la regulación o, por el contrario, corresponde al incumplimiento de las obligaciones previstas en el instrumento.</w:t>
      </w:r>
    </w:p>
    <w:p w14:paraId="09AA1796" w14:textId="4A591816" w:rsidR="008C316F" w:rsidRPr="008C06E0" w:rsidRDefault="00C378AB" w:rsidP="00C378AB">
      <w:pPr>
        <w:jc w:val="both"/>
        <w:rPr>
          <w:rFonts w:ascii="Verdana" w:eastAsia="Arial" w:hAnsi="Verdana" w:cs="Arial"/>
        </w:rPr>
      </w:pPr>
      <w:r w:rsidRPr="008C06E0">
        <w:rPr>
          <w:rFonts w:ascii="Verdana" w:eastAsia="Arial" w:hAnsi="Verdana" w:cs="Arial"/>
        </w:rPr>
        <w:t>En este contexto, la autodeclaración de emisiones de GEI se incorpora como un mecanismo complementario al criterio de nivel de emisiones establecido para el ROE, mediante el cual las personas jurídicas públicas, privadas o mixtas informan formalmente al Ministerio de Ambiente y Desarrollo Sostenible que las emisiones cuantificadas para el respectivo periodo de reporte no superan el nivel de emisiones que da lugar a la obligación de presentar el informe de emisiones de GEI.</w:t>
      </w:r>
    </w:p>
    <w:p w14:paraId="5F18A37A" w14:textId="1A88B291" w:rsidR="0012258F" w:rsidRDefault="00BC0C21" w:rsidP="00C378AB">
      <w:pPr>
        <w:jc w:val="both"/>
        <w:rPr>
          <w:rFonts w:ascii="Verdana" w:eastAsia="Arial" w:hAnsi="Verdana" w:cs="Arial"/>
        </w:rPr>
      </w:pPr>
      <w:r w:rsidRPr="008C06E0">
        <w:rPr>
          <w:rFonts w:ascii="Verdana" w:eastAsia="Arial" w:hAnsi="Verdana" w:cs="Arial"/>
        </w:rPr>
        <w:t xml:space="preserve">La autodeclaración permite fortalecer la integridad, trazabilidad y transparencia del instrumento, al generar evidencia sobre el proceso de cuantificación realizado por las organizaciones que no alcanzan el </w:t>
      </w:r>
      <w:r w:rsidR="001E084E" w:rsidRPr="008C06E0">
        <w:rPr>
          <w:rFonts w:ascii="Verdana" w:eastAsia="Arial" w:hAnsi="Verdana" w:cs="Arial"/>
        </w:rPr>
        <w:t>nivel</w:t>
      </w:r>
      <w:r w:rsidRPr="008C06E0">
        <w:rPr>
          <w:rFonts w:ascii="Verdana" w:eastAsia="Arial" w:hAnsi="Verdana" w:cs="Arial"/>
        </w:rPr>
        <w:t xml:space="preserve"> de emisiones establecido. De esta manera, se facilita la diferenciación entre aquellas organizaciones que efectivamente no se encuentran obligadas a presentar el informe de emisiones de GEI y aquellas que incumplen las obligaciones asociadas al ROE, contribuyendo a la adecuada administración, seguimiento y control del instrumento.</w:t>
      </w:r>
    </w:p>
    <w:p w14:paraId="485A38EC" w14:textId="72333B92" w:rsidR="007D0861" w:rsidRPr="0042048B" w:rsidRDefault="007D0861" w:rsidP="007D0861">
      <w:pPr>
        <w:jc w:val="both"/>
        <w:rPr>
          <w:rFonts w:ascii="Verdana" w:eastAsia="Arial" w:hAnsi="Verdana" w:cs="Arial"/>
          <w:lang w:val="es-419"/>
        </w:rPr>
      </w:pPr>
      <w:r w:rsidRPr="0042048B">
        <w:rPr>
          <w:rFonts w:ascii="Verdana" w:eastAsia="Arial" w:hAnsi="Verdana" w:cs="Arial"/>
          <w:lang w:val="es-419"/>
        </w:rPr>
        <w:lastRenderedPageBreak/>
        <w:t>Adicionalmente, la autodeclaración permite que las organizaciones desarrollen capacidades básicas para la cuantificación y gestión de sus emisiones de GEI, promoviendo de manera progresiva la adopción de prácticas de medición, monitoreo y gestión de información. Lo anterior resulta particularmente relevante considerando que el nivel de emisiones de GEI definido para determinar la obligación de reporte podrá ser objeto de revisión y actualización en el tiempo, y que las organizaciones pueden experimentar cambios en sus actividades, procesos productivos o niveles de emisión que las lleven a superar los criterios de obligatoriedad establecidos en la regulación.</w:t>
      </w:r>
    </w:p>
    <w:p w14:paraId="48469604" w14:textId="77777777" w:rsidR="007D0861" w:rsidRPr="0042048B" w:rsidRDefault="007D0861" w:rsidP="007D0861">
      <w:pPr>
        <w:jc w:val="both"/>
        <w:rPr>
          <w:rFonts w:ascii="Verdana" w:eastAsia="Arial" w:hAnsi="Verdana" w:cs="Arial"/>
          <w:lang w:val="es-419"/>
        </w:rPr>
      </w:pPr>
      <w:r w:rsidRPr="0042048B">
        <w:rPr>
          <w:rFonts w:ascii="Verdana" w:eastAsia="Arial" w:hAnsi="Verdana" w:cs="Arial"/>
          <w:lang w:val="es-419"/>
        </w:rPr>
        <w:t>Desde la perspectiva de la calidad de la información, la autodeclaración contribuye a mejorar el conocimiento sobre el universo de organizaciones que cuantifican emisiones de GEI en el país, aun cuando no se encuentren obligadas a presentar el informe de emisiones de GEI ni a someterse a procesos de verificación. Esto permite disponer de información adicional para evaluar la implementación del instrumento, analizar la pertinencia de los criterios de obligatoriedad definidos y apoyar futuras revisiones regulatorias relacionadas con la cobertura y alcance del ROE.</w:t>
      </w:r>
    </w:p>
    <w:p w14:paraId="11A6082E" w14:textId="77777777" w:rsidR="00425395" w:rsidRPr="0042048B" w:rsidRDefault="00425395" w:rsidP="008E0CEB">
      <w:pPr>
        <w:jc w:val="both"/>
        <w:rPr>
          <w:rFonts w:ascii="Verdana" w:eastAsia="Arial" w:hAnsi="Verdana" w:cs="Arial"/>
        </w:rPr>
      </w:pPr>
      <w:r w:rsidRPr="0042048B">
        <w:rPr>
          <w:rFonts w:ascii="Verdana" w:eastAsia="Arial" w:hAnsi="Verdana" w:cs="Arial"/>
        </w:rPr>
        <w:t>La adopción de este mecanismo resulta consistente con los principios de transparencia, integridad y relevancia que orientan la cuantificación y reporte de emisiones de GEI, en la medida en que permite dejar constancia formal de la cuantificación realizada por las organizaciones que no superan el nivel de emisiones establecido para la obligación de reporte, fortaleciendo la trazabilidad de la información y la aplicación objetiva de los criterios regulatorios definidos para el ROE, sin imponer las mismas cargas técnicas y económicas asociadas a la elaboración, presentación y verificación del informe de emisiones de GEI.</w:t>
      </w:r>
    </w:p>
    <w:p w14:paraId="55A76F9D" w14:textId="33F45AFE" w:rsidR="008E0CEB" w:rsidRPr="0042048B" w:rsidRDefault="00E75777" w:rsidP="008E0CEB">
      <w:pPr>
        <w:jc w:val="both"/>
        <w:rPr>
          <w:rFonts w:ascii="Verdana" w:eastAsia="Arial" w:hAnsi="Verdana" w:cs="Arial"/>
          <w:lang w:val="es-419"/>
        </w:rPr>
      </w:pPr>
      <w:r w:rsidRPr="0042048B">
        <w:rPr>
          <w:rFonts w:ascii="Verdana" w:eastAsia="Arial" w:hAnsi="Verdana" w:cs="Arial"/>
        </w:rPr>
        <w:t>De igual manera, la autodeclaración constituye un mecanismo de responsabilidad sobre la información suministrada por aquellas organizaciones que no superan el nivel de emisiones establecido para la obligación de reporte. Si bien estas organizaciones no se encuentran obligadas a presentar un informe de emisiones de GEI sujeto a procesos de verificación de primera o tercera parte, la autodeclaración permite formalizar el resultado de la cuantificación realizada y establecer responsabilidades respecto de la información declarada, garantizando que la determinación del cumplimiento del nivel de emisiones se realice sobre la base de información cuantificada conforme a las metodologías definidas para el ROE.</w:t>
      </w:r>
    </w:p>
    <w:p w14:paraId="1371B9CC" w14:textId="77777777" w:rsidR="008E0CEB" w:rsidRPr="0042048B" w:rsidRDefault="008E0CEB" w:rsidP="008E0CEB">
      <w:pPr>
        <w:jc w:val="both"/>
        <w:rPr>
          <w:rFonts w:ascii="Verdana" w:eastAsia="Arial" w:hAnsi="Verdana" w:cs="Arial"/>
          <w:lang w:val="es-419"/>
        </w:rPr>
      </w:pPr>
      <w:r w:rsidRPr="0042048B">
        <w:rPr>
          <w:rFonts w:ascii="Verdana" w:eastAsia="Arial" w:hAnsi="Verdana" w:cs="Arial"/>
          <w:lang w:val="es-419"/>
        </w:rPr>
        <w:t xml:space="preserve">Así mismo, la exigencia de presentar la autodeclaración a través de la Plataforma ROE, suscrita por el representante legal y el revisor fiscal o quien haga sus veces, fortalece la confiabilidad y trazabilidad de la información suministrada, promueve </w:t>
      </w:r>
      <w:r w:rsidRPr="0042048B">
        <w:rPr>
          <w:rFonts w:ascii="Verdana" w:eastAsia="Arial" w:hAnsi="Verdana" w:cs="Arial"/>
          <w:lang w:val="es-419"/>
        </w:rPr>
        <w:lastRenderedPageBreak/>
        <w:t xml:space="preserve">la adopción de mecanismos internos de control sobre los procesos de cuantificación de emisiones de GEI y contribuye a reducir los riesgos de </w:t>
      </w:r>
      <w:proofErr w:type="spellStart"/>
      <w:r w:rsidRPr="0042048B">
        <w:rPr>
          <w:rFonts w:ascii="Verdana" w:eastAsia="Arial" w:hAnsi="Verdana" w:cs="Arial"/>
          <w:lang w:val="es-419"/>
        </w:rPr>
        <w:t>subdeclaración</w:t>
      </w:r>
      <w:proofErr w:type="spellEnd"/>
      <w:r w:rsidRPr="0042048B">
        <w:rPr>
          <w:rFonts w:ascii="Verdana" w:eastAsia="Arial" w:hAnsi="Verdana" w:cs="Arial"/>
          <w:lang w:val="es-419"/>
        </w:rPr>
        <w:t xml:space="preserve"> o de omisión de las obligaciones previstas en la regulación. Este mecanismo permite mantener un equilibrio adecuado entre la necesidad de contar con información confiable para la administración del instrumento y la aplicación proporcional de las cargas regulatorias sobre las organizaciones que no superan el nivel de emisiones establecido.</w:t>
      </w:r>
    </w:p>
    <w:p w14:paraId="76155263" w14:textId="3698CCDC" w:rsidR="007D0861" w:rsidRPr="00831A70" w:rsidRDefault="008E0CEB" w:rsidP="00831A70">
      <w:pPr>
        <w:jc w:val="both"/>
        <w:rPr>
          <w:rFonts w:ascii="Verdana" w:eastAsia="Arial" w:hAnsi="Verdana" w:cs="Arial"/>
          <w:lang w:val="es-419"/>
        </w:rPr>
      </w:pPr>
      <w:r w:rsidRPr="0042048B">
        <w:rPr>
          <w:rFonts w:ascii="Verdana" w:eastAsia="Arial" w:hAnsi="Verdana" w:cs="Arial"/>
        </w:rPr>
        <w:t>En consecuencia, la autodeclaración de emisiones de GEI constituye una medida técnica y operativamente justificada para fortalecer la implementación del ROE, facilitar la aplicación objetiva del criterio de nivel de emisiones, mejorar las capacidades de seguimiento y control de la autoridad ambiental, promover la generación progresiva de información sobre emisiones de GEI y asegurar la trazabilidad de las decisiones asociadas a la determinación de las organizaciones obligadas a reportar en el marco del instrumento.</w:t>
      </w:r>
    </w:p>
    <w:p w14:paraId="1A92652E" w14:textId="1FEA986E" w:rsidR="001403BF" w:rsidRPr="00D8190F" w:rsidRDefault="00477D98" w:rsidP="00D8190F">
      <w:pPr>
        <w:pStyle w:val="Ttulo1"/>
        <w:jc w:val="both"/>
        <w:rPr>
          <w:rFonts w:ascii="Verdana" w:hAnsi="Verdana"/>
          <w:b/>
          <w:bCs/>
          <w:sz w:val="22"/>
          <w:szCs w:val="22"/>
          <w:lang w:val="es-419"/>
        </w:rPr>
      </w:pPr>
      <w:r>
        <w:rPr>
          <w:rFonts w:ascii="Verdana" w:hAnsi="Verdana"/>
          <w:b/>
          <w:bCs/>
          <w:sz w:val="22"/>
          <w:szCs w:val="22"/>
          <w:lang w:val="es-419"/>
        </w:rPr>
        <w:t xml:space="preserve">6. </w:t>
      </w:r>
      <w:r w:rsidR="003350E8" w:rsidRPr="003350E8">
        <w:rPr>
          <w:rFonts w:ascii="Verdana" w:hAnsi="Verdana"/>
          <w:b/>
          <w:bCs/>
          <w:sz w:val="22"/>
          <w:szCs w:val="22"/>
          <w:lang w:val="es-419"/>
        </w:rPr>
        <w:t>Justificación de la gradualidad en la implementación del Reporte Obligatorio de Emisiones de GEI (ROE)</w:t>
      </w:r>
    </w:p>
    <w:p w14:paraId="73ECC182" w14:textId="77777777" w:rsidR="0056115C" w:rsidRPr="0056115C" w:rsidRDefault="0056115C" w:rsidP="0056115C">
      <w:pPr>
        <w:spacing w:after="120" w:line="240" w:lineRule="auto"/>
        <w:jc w:val="both"/>
        <w:rPr>
          <w:rFonts w:ascii="Verdana" w:eastAsia="Arial" w:hAnsi="Verdana" w:cs="Arial"/>
          <w:lang w:val="es-419"/>
        </w:rPr>
      </w:pPr>
      <w:r w:rsidRPr="0056115C">
        <w:rPr>
          <w:rFonts w:ascii="Verdana" w:eastAsia="Arial" w:hAnsi="Verdana" w:cs="Arial"/>
          <w:lang w:val="es-419"/>
        </w:rPr>
        <w:t>La implementación gradual del Reporte Obligatorio de Emisiones de GEI (ROE) responde a la necesidad de asegurar una entrada en operación progresiva, ordenada y técnicamente viable de un instrumento de alcance nacional que introduce obligaciones nuevas de cuantificación, reporte y verificación de emisiones de GEI a nivel organizacional para personas jurídicas públicas, privadas y mixtas. En atención a la complejidad técnica y operativa inherente al instrumento, así como a la diversidad de capacidades institucionales y organizacionales existentes entre los sujetos potencialmente obligados, la implementación progresiva del ROE constituye una medida necesaria para garantizar su adecuada adopción y funcionamiento efectivo.</w:t>
      </w:r>
    </w:p>
    <w:p w14:paraId="33FA1AE7" w14:textId="06D7DCB1" w:rsidR="0056115C" w:rsidRPr="0056115C" w:rsidRDefault="0056115C" w:rsidP="0056115C">
      <w:pPr>
        <w:spacing w:after="120" w:line="240" w:lineRule="auto"/>
        <w:jc w:val="both"/>
        <w:rPr>
          <w:rFonts w:ascii="Verdana" w:eastAsia="Arial" w:hAnsi="Verdana" w:cs="Arial"/>
          <w:lang w:val="es-419"/>
        </w:rPr>
      </w:pPr>
      <w:r w:rsidRPr="00AB73C2">
        <w:rPr>
          <w:rFonts w:ascii="Verdana" w:eastAsia="Arial" w:hAnsi="Verdana" w:cs="Arial"/>
          <w:lang w:val="es-419"/>
        </w:rPr>
        <w:t>La gradualidad adoptada en el ROE se materializa mediante la aplicación escalonada en el tiempo de los criterios definidos para la determinación de las personas jurídicas obligadas a reportar, de conformidad con lo previsto en los artículos 1</w:t>
      </w:r>
      <w:r w:rsidR="004F21B2" w:rsidRPr="00AB73C2">
        <w:rPr>
          <w:rFonts w:ascii="Verdana" w:eastAsia="Arial" w:hAnsi="Verdana" w:cs="Arial"/>
          <w:lang w:val="es-419"/>
        </w:rPr>
        <w:t>1</w:t>
      </w:r>
      <w:r w:rsidRPr="00AB73C2">
        <w:rPr>
          <w:rFonts w:ascii="Verdana" w:eastAsia="Arial" w:hAnsi="Verdana" w:cs="Arial"/>
          <w:lang w:val="es-419"/>
        </w:rPr>
        <w:t xml:space="preserve"> a 1</w:t>
      </w:r>
      <w:r w:rsidR="004F21B2" w:rsidRPr="00AB73C2">
        <w:rPr>
          <w:rFonts w:ascii="Verdana" w:eastAsia="Arial" w:hAnsi="Verdana" w:cs="Arial"/>
          <w:lang w:val="es-419"/>
        </w:rPr>
        <w:t>6</w:t>
      </w:r>
      <w:r w:rsidRPr="00AB73C2">
        <w:rPr>
          <w:rFonts w:ascii="Verdana" w:eastAsia="Arial" w:hAnsi="Verdana" w:cs="Arial"/>
          <w:lang w:val="es-419"/>
        </w:rPr>
        <w:t xml:space="preserve"> del proyecto de resolución, de forma que la obligación de cuantificación y reporte se incorpora progresivamente a distintos grupos de sujetos conforme</w:t>
      </w:r>
      <w:r w:rsidRPr="0056115C">
        <w:rPr>
          <w:rFonts w:ascii="Verdana" w:eastAsia="Arial" w:hAnsi="Verdana" w:cs="Arial"/>
          <w:lang w:val="es-419"/>
        </w:rPr>
        <w:t xml:space="preserve"> a las etapas previstas para la implementación del instrumento. En particular, el esquema de gradualidad prioriza inicialmente la incorporación de personas jurídicas con mayores capacidades organizacionales y administrativas</w:t>
      </w:r>
      <w:r w:rsidR="001D2C8D">
        <w:rPr>
          <w:rFonts w:ascii="Verdana" w:eastAsia="Arial" w:hAnsi="Verdana" w:cs="Arial"/>
          <w:lang w:val="es-419"/>
        </w:rPr>
        <w:t xml:space="preserve">, </w:t>
      </w:r>
      <w:r w:rsidRPr="0056115C">
        <w:rPr>
          <w:rFonts w:ascii="Verdana" w:eastAsia="Arial" w:hAnsi="Verdana" w:cs="Arial"/>
          <w:lang w:val="es-419"/>
        </w:rPr>
        <w:t>tales como grandes empresas y entidades públicas de mayor capacidad institucional</w:t>
      </w:r>
      <w:r w:rsidR="00F47861">
        <w:rPr>
          <w:rFonts w:ascii="Verdana" w:eastAsia="Arial" w:hAnsi="Verdana" w:cs="Arial"/>
          <w:lang w:val="es-419"/>
        </w:rPr>
        <w:t>,</w:t>
      </w:r>
      <w:r w:rsidRPr="0056115C">
        <w:rPr>
          <w:rFonts w:ascii="Verdana" w:eastAsia="Arial" w:hAnsi="Verdana" w:cs="Arial"/>
          <w:lang w:val="es-419"/>
        </w:rPr>
        <w:t xml:space="preserve"> </w:t>
      </w:r>
      <w:r w:rsidR="00897973" w:rsidRPr="00897973">
        <w:rPr>
          <w:rFonts w:ascii="Verdana" w:eastAsia="Arial" w:hAnsi="Verdana" w:cs="Arial"/>
          <w:lang w:val="es-419"/>
        </w:rPr>
        <w:t>para posteriormente ampliar la cobertura del instrumento hacia otros segmentos de sujetos obligados</w:t>
      </w:r>
      <w:r w:rsidR="00897973">
        <w:rPr>
          <w:rFonts w:ascii="Verdana" w:eastAsia="Arial" w:hAnsi="Verdana" w:cs="Arial"/>
          <w:lang w:val="es-419"/>
        </w:rPr>
        <w:t xml:space="preserve"> </w:t>
      </w:r>
      <w:r w:rsidRPr="0056115C">
        <w:rPr>
          <w:rFonts w:ascii="Verdana" w:eastAsia="Arial" w:hAnsi="Verdana" w:cs="Arial"/>
          <w:lang w:val="es-419"/>
        </w:rPr>
        <w:t>que cumplan los criterios regulatorios definidos.</w:t>
      </w:r>
    </w:p>
    <w:p w14:paraId="1CE6D36E" w14:textId="1619500D" w:rsidR="0056115C" w:rsidRPr="0056115C" w:rsidRDefault="0056115C" w:rsidP="0056115C">
      <w:pPr>
        <w:spacing w:after="120" w:line="240" w:lineRule="auto"/>
        <w:jc w:val="both"/>
        <w:rPr>
          <w:rFonts w:ascii="Verdana" w:eastAsia="Arial" w:hAnsi="Verdana" w:cs="Arial"/>
          <w:lang w:val="es-419"/>
        </w:rPr>
      </w:pPr>
      <w:r w:rsidRPr="0056115C">
        <w:rPr>
          <w:rFonts w:ascii="Verdana" w:eastAsia="Arial" w:hAnsi="Verdana" w:cs="Arial"/>
          <w:lang w:val="es-419"/>
        </w:rPr>
        <w:lastRenderedPageBreak/>
        <w:t xml:space="preserve">Este enfoque permite </w:t>
      </w:r>
      <w:r w:rsidR="00626A1B">
        <w:rPr>
          <w:rFonts w:ascii="Verdana" w:eastAsia="Arial" w:hAnsi="Verdana" w:cs="Arial"/>
          <w:lang w:val="es-419"/>
        </w:rPr>
        <w:t>armonizar</w:t>
      </w:r>
      <w:r w:rsidRPr="0056115C">
        <w:rPr>
          <w:rFonts w:ascii="Verdana" w:eastAsia="Arial" w:hAnsi="Verdana" w:cs="Arial"/>
          <w:lang w:val="es-419"/>
        </w:rPr>
        <w:t xml:space="preserve"> la intensidad y extensión de las obligaciones regulatorias con la capacidad efectiva de cumplimiento de l</w:t>
      </w:r>
      <w:r w:rsidR="00B03CEC">
        <w:rPr>
          <w:rFonts w:ascii="Verdana" w:eastAsia="Arial" w:hAnsi="Verdana" w:cs="Arial"/>
          <w:lang w:val="es-419"/>
        </w:rPr>
        <w:t xml:space="preserve">as </w:t>
      </w:r>
      <w:r w:rsidR="00626A1B">
        <w:rPr>
          <w:rFonts w:ascii="Verdana" w:eastAsia="Arial" w:hAnsi="Verdana" w:cs="Arial"/>
          <w:lang w:val="es-419"/>
        </w:rPr>
        <w:t>personas jurídicas</w:t>
      </w:r>
      <w:r w:rsidRPr="0056115C">
        <w:rPr>
          <w:rFonts w:ascii="Verdana" w:eastAsia="Arial" w:hAnsi="Verdana" w:cs="Arial"/>
          <w:lang w:val="es-419"/>
        </w:rPr>
        <w:t>, reconociendo que la implementación de sistemas internos de cuantificación, consolidación, gestión de datos, preparación de informes y verificación de emisiones de GEI requiere procesos de adaptación técnica, fortalecimiento institucional y apropiación metodológica que pueden variar sustancialmente entre tipos de organizaciones.</w:t>
      </w:r>
    </w:p>
    <w:p w14:paraId="557D0CC7" w14:textId="43F064E8" w:rsidR="0056115C" w:rsidRPr="000D6620" w:rsidRDefault="0056115C" w:rsidP="0056115C">
      <w:pPr>
        <w:spacing w:after="120" w:line="240" w:lineRule="auto"/>
        <w:jc w:val="both"/>
        <w:rPr>
          <w:rFonts w:ascii="Verdana" w:eastAsia="Arial" w:hAnsi="Verdana" w:cs="Arial"/>
          <w:lang w:val="es-419"/>
        </w:rPr>
      </w:pPr>
      <w:r w:rsidRPr="0056115C">
        <w:rPr>
          <w:rFonts w:ascii="Verdana" w:eastAsia="Arial" w:hAnsi="Verdana" w:cs="Arial"/>
          <w:lang w:val="es-419"/>
        </w:rPr>
        <w:t xml:space="preserve">Adicionalmente, la gradualidad resulta necesaria para asegurar una implementación operativamente viable desde la perspectiva institucional y de mercado. La entrada en operación del ROE implica el desarrollo y estabilización progresiva de capacidades por parte del Ministerio de Ambiente y Desarrollo Sostenible para la administración de la Plataforma ROE, la gestión de la información reportada, el acompañamiento técnico a los usuarios y la supervisión del cumplimiento del instrumento. De igual forma, requiere la consolidación gradual </w:t>
      </w:r>
      <w:r w:rsidR="00BB13FA">
        <w:rPr>
          <w:rFonts w:ascii="Verdana" w:eastAsia="Arial" w:hAnsi="Verdana" w:cs="Arial"/>
          <w:lang w:val="es-419"/>
        </w:rPr>
        <w:t xml:space="preserve">y </w:t>
      </w:r>
      <w:r w:rsidR="00AD08B6" w:rsidRPr="00AD08B6">
        <w:rPr>
          <w:rFonts w:ascii="Verdana" w:eastAsia="Arial" w:hAnsi="Verdana" w:cs="Arial"/>
        </w:rPr>
        <w:t>fortalecimiento de la oferta nacional de servicios de verificación</w:t>
      </w:r>
      <w:r w:rsidR="00AD08B6">
        <w:rPr>
          <w:rFonts w:ascii="Verdana" w:eastAsia="Arial" w:hAnsi="Verdana" w:cs="Arial"/>
        </w:rPr>
        <w:t xml:space="preserve"> </w:t>
      </w:r>
      <w:r w:rsidRPr="0056115C">
        <w:rPr>
          <w:rFonts w:ascii="Verdana" w:eastAsia="Arial" w:hAnsi="Verdana" w:cs="Arial"/>
          <w:lang w:val="es-419"/>
        </w:rPr>
        <w:t xml:space="preserve">y aseguramiento de la información, incluyendo la disponibilidad suficiente de organismos de validación y verificación acreditados y con capacidades técnicas </w:t>
      </w:r>
      <w:r w:rsidRPr="000D6620">
        <w:rPr>
          <w:rFonts w:ascii="Verdana" w:eastAsia="Arial" w:hAnsi="Verdana" w:cs="Arial"/>
          <w:lang w:val="es-419"/>
        </w:rPr>
        <w:t>para atender la demanda generada por el instrumento.</w:t>
      </w:r>
    </w:p>
    <w:p w14:paraId="32EB801F" w14:textId="77777777" w:rsidR="0056115C" w:rsidRPr="000D6620" w:rsidRDefault="0056115C" w:rsidP="0056115C">
      <w:pPr>
        <w:spacing w:after="120" w:line="240" w:lineRule="auto"/>
        <w:jc w:val="both"/>
        <w:rPr>
          <w:rFonts w:ascii="Verdana" w:eastAsia="Arial" w:hAnsi="Verdana" w:cs="Arial"/>
          <w:lang w:val="es-419"/>
        </w:rPr>
      </w:pPr>
      <w:r w:rsidRPr="000D6620">
        <w:rPr>
          <w:rFonts w:ascii="Verdana" w:eastAsia="Arial" w:hAnsi="Verdana" w:cs="Arial"/>
          <w:lang w:val="es-419"/>
        </w:rPr>
        <w:t xml:space="preserve">Desde la perspectiva técnica, la implementación gradual también favorece la consolidación progresiva de la calidad de la información reportada, en la medida en que permite iniciar la operación del sistema con actores que, por la naturaleza, escala y complejidad de sus operaciones, cuentan en mayor medida con capacidades organizacionales, disponibilidad de información estructurada y experiencia previa en procesos de gestión ambiental o de sostenibilidad corporativa. Esto contribuye a establecer una base inicial de información más robusta y verificable, sobre la cual es posible fortalecer progresivamente los procesos, herramientas y lineamientos técnicos requeridos para la expansión del sistema hacia otros segmentos de </w:t>
      </w:r>
      <w:proofErr w:type="spellStart"/>
      <w:r w:rsidRPr="000D6620">
        <w:rPr>
          <w:rFonts w:ascii="Verdana" w:eastAsia="Arial" w:hAnsi="Verdana" w:cs="Arial"/>
          <w:lang w:val="es-419"/>
        </w:rPr>
        <w:t>reportantes</w:t>
      </w:r>
      <w:proofErr w:type="spellEnd"/>
      <w:r w:rsidRPr="000D6620">
        <w:rPr>
          <w:rFonts w:ascii="Verdana" w:eastAsia="Arial" w:hAnsi="Verdana" w:cs="Arial"/>
          <w:lang w:val="es-419"/>
        </w:rPr>
        <w:t>.</w:t>
      </w:r>
    </w:p>
    <w:p w14:paraId="0DC4ED3D" w14:textId="0CE3E7A3" w:rsidR="0056115C" w:rsidRPr="00E67CD5" w:rsidRDefault="00DF3B5B" w:rsidP="0056115C">
      <w:pPr>
        <w:spacing w:after="120" w:line="240" w:lineRule="auto"/>
        <w:jc w:val="both"/>
        <w:rPr>
          <w:rFonts w:ascii="Verdana" w:eastAsia="Arial" w:hAnsi="Verdana" w:cs="Arial"/>
          <w:lang w:val="es-419"/>
        </w:rPr>
      </w:pPr>
      <w:r w:rsidRPr="00DF3B5B">
        <w:rPr>
          <w:rFonts w:ascii="Verdana" w:eastAsia="Arial" w:hAnsi="Verdana" w:cs="Arial"/>
        </w:rPr>
        <w:t xml:space="preserve">Asimismo, el esquema adoptado resulta consistente con las recomendaciones técnicas formuladas para el diseño conceptual del programa de reporte obligatorio de emisiones de GEI en Colombia, particularmente en el estudio “Opciones de diseño para un Programa de Reporte Obligatorio de Gases de Efecto Invernadero a Nivel Corporativo en Colombia”, elaborado en el marco del </w:t>
      </w:r>
      <w:proofErr w:type="spellStart"/>
      <w:r w:rsidRPr="00DF3B5B">
        <w:rPr>
          <w:rFonts w:ascii="Verdana" w:eastAsia="Arial" w:hAnsi="Verdana" w:cs="Arial"/>
        </w:rPr>
        <w:t>Partnership</w:t>
      </w:r>
      <w:proofErr w:type="spellEnd"/>
      <w:r w:rsidRPr="00DF3B5B">
        <w:rPr>
          <w:rFonts w:ascii="Verdana" w:eastAsia="Arial" w:hAnsi="Verdana" w:cs="Arial"/>
        </w:rPr>
        <w:t xml:space="preserve"> </w:t>
      </w:r>
      <w:proofErr w:type="spellStart"/>
      <w:r w:rsidRPr="00DF3B5B">
        <w:rPr>
          <w:rFonts w:ascii="Verdana" w:eastAsia="Arial" w:hAnsi="Verdana" w:cs="Arial"/>
        </w:rPr>
        <w:t>for</w:t>
      </w:r>
      <w:proofErr w:type="spellEnd"/>
      <w:r w:rsidRPr="00DF3B5B">
        <w:rPr>
          <w:rFonts w:ascii="Verdana" w:eastAsia="Arial" w:hAnsi="Verdana" w:cs="Arial"/>
        </w:rPr>
        <w:t xml:space="preserve"> Market </w:t>
      </w:r>
      <w:proofErr w:type="spellStart"/>
      <w:r w:rsidRPr="00DF3B5B">
        <w:rPr>
          <w:rFonts w:ascii="Verdana" w:eastAsia="Arial" w:hAnsi="Verdana" w:cs="Arial"/>
        </w:rPr>
        <w:t>Readiness</w:t>
      </w:r>
      <w:proofErr w:type="spellEnd"/>
      <w:r w:rsidRPr="00DF3B5B">
        <w:rPr>
          <w:rFonts w:ascii="Verdana" w:eastAsia="Arial" w:hAnsi="Verdana" w:cs="Arial"/>
        </w:rPr>
        <w:t xml:space="preserve"> (PMR) del Banco Mundial para el Ministerio de Ambiente y Desarrollo Sostenible, en el cual se recomendó una implementación escalonada del instrumento durante sus primeros años de operación, iniciando con actores de mayor capacidad organizacional y ampliando progresivamente su cobertura hacia otros tipos de sujetos obligados conforme a la maduración </w:t>
      </w:r>
      <w:r w:rsidRPr="00E67CD5">
        <w:rPr>
          <w:rFonts w:ascii="Verdana" w:eastAsia="Arial" w:hAnsi="Verdana" w:cs="Arial"/>
        </w:rPr>
        <w:t>institucional y técnica del sistema.</w:t>
      </w:r>
    </w:p>
    <w:p w14:paraId="36A3A2BB" w14:textId="771ED2E1" w:rsidR="0056115C" w:rsidRPr="003A652A" w:rsidRDefault="0056115C" w:rsidP="0056115C">
      <w:pPr>
        <w:spacing w:after="120" w:line="240" w:lineRule="auto"/>
        <w:jc w:val="both"/>
        <w:rPr>
          <w:rFonts w:ascii="Verdana" w:eastAsia="Arial" w:hAnsi="Verdana" w:cs="Arial"/>
          <w:highlight w:val="cyan"/>
          <w:lang w:val="es-419"/>
        </w:rPr>
      </w:pPr>
      <w:r w:rsidRPr="00E67CD5">
        <w:rPr>
          <w:rFonts w:ascii="Verdana" w:eastAsia="Arial" w:hAnsi="Verdana" w:cs="Arial"/>
          <w:lang w:val="es-419"/>
        </w:rPr>
        <w:t xml:space="preserve">En este sentido, la gradualidad prevista en el ROE, desarrollada a través de las disposiciones contenidas en los </w:t>
      </w:r>
      <w:r w:rsidRPr="0042048B">
        <w:rPr>
          <w:rFonts w:ascii="Verdana" w:eastAsia="Arial" w:hAnsi="Verdana" w:cs="Arial"/>
          <w:lang w:val="es-419"/>
        </w:rPr>
        <w:t>artículos 1</w:t>
      </w:r>
      <w:r w:rsidR="00042030" w:rsidRPr="0042048B">
        <w:rPr>
          <w:rFonts w:ascii="Verdana" w:eastAsia="Arial" w:hAnsi="Verdana" w:cs="Arial"/>
          <w:lang w:val="es-419"/>
        </w:rPr>
        <w:t>5</w:t>
      </w:r>
      <w:r w:rsidRPr="0042048B">
        <w:rPr>
          <w:rFonts w:ascii="Verdana" w:eastAsia="Arial" w:hAnsi="Verdana" w:cs="Arial"/>
          <w:lang w:val="es-419"/>
        </w:rPr>
        <w:t xml:space="preserve"> y 1</w:t>
      </w:r>
      <w:r w:rsidR="00042030" w:rsidRPr="0042048B">
        <w:rPr>
          <w:rFonts w:ascii="Verdana" w:eastAsia="Arial" w:hAnsi="Verdana" w:cs="Arial"/>
          <w:lang w:val="es-419"/>
        </w:rPr>
        <w:t>6</w:t>
      </w:r>
      <w:r w:rsidRPr="0042048B">
        <w:rPr>
          <w:rFonts w:ascii="Verdana" w:eastAsia="Arial" w:hAnsi="Verdana" w:cs="Arial"/>
          <w:lang w:val="es-419"/>
        </w:rPr>
        <w:t xml:space="preserve"> del proyecto de resolución, no constituye una flexibilización del alcance del instrumento</w:t>
      </w:r>
      <w:r w:rsidRPr="00E67CD5">
        <w:rPr>
          <w:rFonts w:ascii="Verdana" w:eastAsia="Arial" w:hAnsi="Verdana" w:cs="Arial"/>
          <w:lang w:val="es-419"/>
        </w:rPr>
        <w:t xml:space="preserve">, sino un mecanismo de </w:t>
      </w:r>
      <w:r w:rsidRPr="00E67CD5">
        <w:rPr>
          <w:rFonts w:ascii="Verdana" w:eastAsia="Arial" w:hAnsi="Verdana" w:cs="Arial"/>
          <w:lang w:val="es-419"/>
        </w:rPr>
        <w:lastRenderedPageBreak/>
        <w:t>implementación progresiva orientado a garantizar su efectivid</w:t>
      </w:r>
      <w:r w:rsidR="00915F37">
        <w:rPr>
          <w:rFonts w:ascii="Verdana" w:eastAsia="Arial" w:hAnsi="Verdana" w:cs="Arial"/>
          <w:lang w:val="es-419"/>
        </w:rPr>
        <w:t xml:space="preserve">ad, </w:t>
      </w:r>
      <w:r w:rsidRPr="00E67CD5">
        <w:rPr>
          <w:rFonts w:ascii="Verdana" w:eastAsia="Arial" w:hAnsi="Verdana" w:cs="Arial"/>
          <w:lang w:val="es-419"/>
        </w:rPr>
        <w:t xml:space="preserve">sostenibilidad </w:t>
      </w:r>
      <w:r w:rsidR="00915F37">
        <w:rPr>
          <w:rFonts w:ascii="Verdana" w:eastAsia="Arial" w:hAnsi="Verdana" w:cs="Arial"/>
          <w:lang w:val="es-419"/>
        </w:rPr>
        <w:t>y mejora continua en</w:t>
      </w:r>
      <w:r w:rsidRPr="00E67CD5">
        <w:rPr>
          <w:rFonts w:ascii="Verdana" w:eastAsia="Arial" w:hAnsi="Verdana" w:cs="Arial"/>
          <w:lang w:val="es-419"/>
        </w:rPr>
        <w:t xml:space="preserve"> el tiempo</w:t>
      </w:r>
      <w:r w:rsidR="00E67CD5" w:rsidRPr="00E67CD5">
        <w:rPr>
          <w:rFonts w:ascii="Verdana" w:eastAsia="Arial" w:hAnsi="Verdana" w:cs="Arial"/>
          <w:lang w:val="es-419"/>
        </w:rPr>
        <w:t>.</w:t>
      </w:r>
    </w:p>
    <w:p w14:paraId="636311DC" w14:textId="25A917C1" w:rsidR="00C95E91" w:rsidRPr="00D8190F" w:rsidRDefault="00477D98" w:rsidP="00C95E91">
      <w:pPr>
        <w:pStyle w:val="Ttulo1"/>
        <w:jc w:val="both"/>
        <w:rPr>
          <w:rFonts w:ascii="Verdana" w:hAnsi="Verdana"/>
          <w:b/>
          <w:bCs/>
          <w:sz w:val="22"/>
          <w:szCs w:val="22"/>
          <w:lang w:val="es-419"/>
        </w:rPr>
      </w:pPr>
      <w:r>
        <w:rPr>
          <w:rFonts w:ascii="Verdana" w:hAnsi="Verdana"/>
          <w:b/>
          <w:bCs/>
          <w:sz w:val="22"/>
          <w:szCs w:val="22"/>
          <w:lang w:val="es-419"/>
        </w:rPr>
        <w:t>7</w:t>
      </w:r>
      <w:r w:rsidR="00E475D6" w:rsidRPr="00E475D6">
        <w:rPr>
          <w:rFonts w:ascii="Verdana" w:hAnsi="Verdana"/>
          <w:b/>
          <w:bCs/>
          <w:sz w:val="22"/>
          <w:szCs w:val="22"/>
          <w:lang w:val="es-419"/>
        </w:rPr>
        <w:t>. Justificación de la exclusión de determinadas personas jurídicas del ámbito de aplicación del ROE</w:t>
      </w:r>
    </w:p>
    <w:p w14:paraId="282A6964" w14:textId="77777777" w:rsidR="00F00E60" w:rsidRPr="00F00E60" w:rsidRDefault="00F00E60" w:rsidP="00F00E60">
      <w:pPr>
        <w:spacing w:after="120" w:line="240" w:lineRule="auto"/>
        <w:jc w:val="both"/>
        <w:rPr>
          <w:rFonts w:ascii="Verdana" w:eastAsia="Arial" w:hAnsi="Verdana" w:cs="Arial"/>
          <w:lang w:val="es-419"/>
        </w:rPr>
      </w:pPr>
      <w:r w:rsidRPr="00F00E60">
        <w:rPr>
          <w:rFonts w:ascii="Verdana" w:eastAsia="Arial" w:hAnsi="Verdana" w:cs="Arial"/>
          <w:lang w:val="es-419"/>
        </w:rPr>
        <w:t>La definición del ámbito de aplicación del Reporte Obligatorio de Emisiones de GEI (ROE) requiere la determinación de criterios objetivos que permitan delimitar de manera proporcional, eficiente y técnicamente fundamentada las personas jurídicas sujetas a la obligación de cuantificación y reporte de emisiones de GEI. En este sentido, el diseño del instrumento contempla la no inclusión de determinados segmentos de personas jurídicas dentro de su ámbito de aplicación obligatorio, atendiendo a consideraciones asociadas a sus capacidades técnicas, administrativas e institucionales, su relevancia en términos de emisiones de GEI y la proporcionalidad de las cargas regulatorias derivadas de su implementación.</w:t>
      </w:r>
    </w:p>
    <w:p w14:paraId="422ABBCF" w14:textId="3D2364C5" w:rsidR="00F00E60" w:rsidRPr="00F00E60" w:rsidRDefault="00F00E60" w:rsidP="00F00E60">
      <w:pPr>
        <w:spacing w:after="120" w:line="240" w:lineRule="auto"/>
        <w:jc w:val="both"/>
        <w:rPr>
          <w:rFonts w:ascii="Verdana" w:eastAsia="Arial" w:hAnsi="Verdana" w:cs="Arial"/>
          <w:lang w:val="es-419"/>
        </w:rPr>
      </w:pPr>
      <w:r w:rsidRPr="00F00E60">
        <w:rPr>
          <w:rFonts w:ascii="Verdana" w:eastAsia="Arial" w:hAnsi="Verdana" w:cs="Arial"/>
          <w:lang w:val="es-419"/>
        </w:rPr>
        <w:t xml:space="preserve">En desarrollo de dicho enfoque, el proyecto de resolución delimita el ámbito de aplicación obligatorio del ROE para las personas jurídicas privadas o mixtas con capital público inferior al cincuenta por ciento (50%) a aquellas que, conforme al criterio de tamaño empresarial previsto en el artículo 16 de la Ley 2169 de 2021 y </w:t>
      </w:r>
      <w:r w:rsidRPr="0042048B">
        <w:rPr>
          <w:rFonts w:ascii="Verdana" w:eastAsia="Arial" w:hAnsi="Verdana" w:cs="Arial"/>
          <w:lang w:val="es-419"/>
        </w:rPr>
        <w:t>desarrollado en el artículo 1</w:t>
      </w:r>
      <w:r w:rsidR="0005066D" w:rsidRPr="0042048B">
        <w:rPr>
          <w:rFonts w:ascii="Verdana" w:eastAsia="Arial" w:hAnsi="Verdana" w:cs="Arial"/>
          <w:lang w:val="es-419"/>
        </w:rPr>
        <w:t>3</w:t>
      </w:r>
      <w:r w:rsidRPr="0042048B">
        <w:rPr>
          <w:rFonts w:ascii="Verdana" w:eastAsia="Arial" w:hAnsi="Verdana" w:cs="Arial"/>
          <w:lang w:val="es-419"/>
        </w:rPr>
        <w:t xml:space="preserve"> de la presente</w:t>
      </w:r>
      <w:r w:rsidRPr="00F00E60">
        <w:rPr>
          <w:rFonts w:ascii="Verdana" w:eastAsia="Arial" w:hAnsi="Verdana" w:cs="Arial"/>
          <w:lang w:val="es-419"/>
        </w:rPr>
        <w:t xml:space="preserve"> resolución, clasifiquen como pequeña, mediana o gran empresa, excluyendo de dicha obligación a aquellas que clasifiquen como microempresa. Así mismo, respecto de las personas jurídicas públicas o mixtas con capital público igual o superior al cincuenta por ciento (50%), se excluye del ámbito de aplicación obligatorio a determinadas entidades correspondientes a distritos y municipios clasificados en categorías 3, 4, 5 y 6, de conformidad con lo </w:t>
      </w:r>
      <w:r w:rsidRPr="0042048B">
        <w:rPr>
          <w:rFonts w:ascii="Verdana" w:eastAsia="Arial" w:hAnsi="Verdana" w:cs="Arial"/>
          <w:lang w:val="es-419"/>
        </w:rPr>
        <w:t>previsto en el artículo 1</w:t>
      </w:r>
      <w:r w:rsidR="00A561A9" w:rsidRPr="0042048B">
        <w:rPr>
          <w:rFonts w:ascii="Verdana" w:eastAsia="Arial" w:hAnsi="Verdana" w:cs="Arial"/>
          <w:lang w:val="es-419"/>
        </w:rPr>
        <w:t>4</w:t>
      </w:r>
      <w:r w:rsidRPr="0042048B">
        <w:rPr>
          <w:rFonts w:ascii="Verdana" w:eastAsia="Arial" w:hAnsi="Verdana" w:cs="Arial"/>
          <w:lang w:val="es-419"/>
        </w:rPr>
        <w:t xml:space="preserve"> de</w:t>
      </w:r>
      <w:r w:rsidRPr="00F00E60">
        <w:rPr>
          <w:rFonts w:ascii="Verdana" w:eastAsia="Arial" w:hAnsi="Verdana" w:cs="Arial"/>
          <w:lang w:val="es-419"/>
        </w:rPr>
        <w:t xml:space="preserve"> la presente resolución.</w:t>
      </w:r>
    </w:p>
    <w:p w14:paraId="7EAC0A38" w14:textId="77777777" w:rsidR="00F00E60" w:rsidRPr="00F00E60" w:rsidRDefault="00F00E60" w:rsidP="00F00E60">
      <w:pPr>
        <w:spacing w:after="120" w:line="240" w:lineRule="auto"/>
        <w:jc w:val="both"/>
        <w:rPr>
          <w:rFonts w:ascii="Verdana" w:eastAsia="Arial" w:hAnsi="Verdana" w:cs="Arial"/>
          <w:lang w:val="es-419"/>
        </w:rPr>
      </w:pPr>
      <w:r w:rsidRPr="00F00E60">
        <w:rPr>
          <w:rFonts w:ascii="Verdana" w:eastAsia="Arial" w:hAnsi="Verdana" w:cs="Arial"/>
          <w:lang w:val="es-419"/>
        </w:rPr>
        <w:t>La no inclusión de las microempresas dentro del ámbito de aplicación obligatorio del ROE obedece al reconocimiento de las limitaciones estructurales que este tipo de organizaciones presentan para asumir cargas regulatorias asociadas a la implementación de procesos formales de cuantificación, consolidación, reporte y verificación de emisiones de GEI. La imposición de estas obligaciones sobre dicho segmento empresarial podría generar cargas desproporcionadas frente a su estructura organizacional y económica, particularmente considerando que, en términos generales, las microempresas tienden a presentar menores niveles de complejidad operativa y razonablemente es menos probable que alcancen niveles de emisión comparables a los de empresas de mayor tamaño.</w:t>
      </w:r>
    </w:p>
    <w:p w14:paraId="0D297B20" w14:textId="19B3D169" w:rsidR="00F00E60" w:rsidRPr="00F00E60" w:rsidRDefault="00F00E60" w:rsidP="00F00E60">
      <w:pPr>
        <w:spacing w:after="120" w:line="240" w:lineRule="auto"/>
        <w:jc w:val="both"/>
        <w:rPr>
          <w:rFonts w:ascii="Verdana" w:eastAsia="Arial" w:hAnsi="Verdana" w:cs="Arial"/>
          <w:lang w:val="es-419"/>
        </w:rPr>
      </w:pPr>
      <w:r w:rsidRPr="00F00E60">
        <w:rPr>
          <w:rFonts w:ascii="Verdana" w:eastAsia="Arial" w:hAnsi="Verdana" w:cs="Arial"/>
          <w:lang w:val="es-419"/>
        </w:rPr>
        <w:t xml:space="preserve">De manera similar, la no inclusión de personas jurídicas públicas correspondientes a distritos y municipios de categorías 3, 4, 5 y 6 responde al reconocimiento de las limitaciones institucionales, presupuestales y administrativas que caracterizan a entidades territoriales de menor capacidad </w:t>
      </w:r>
      <w:r w:rsidRPr="00F00E60">
        <w:rPr>
          <w:rFonts w:ascii="Verdana" w:eastAsia="Arial" w:hAnsi="Verdana" w:cs="Arial"/>
          <w:lang w:val="es-419"/>
        </w:rPr>
        <w:lastRenderedPageBreak/>
        <w:t>fiscal y operativa, conforme a los criterios de categorización territorial previstos en la Ley 617 de 2000. La imposición de obligaciones técnicas complejas de cuantificación, reporte y verificación de emisiones sobre este tipo de entidades podría generar cargas regulatorias desproporcionadas frente a sus condiciones institucionales, particularmente considerando que su menor escala administrativa y operativa puede razonablemente asociarse, en términos generales, con una menor probabilidad de presentar emisiones</w:t>
      </w:r>
      <w:r w:rsidR="00871EC8">
        <w:rPr>
          <w:rFonts w:ascii="Verdana" w:eastAsia="Arial" w:hAnsi="Verdana" w:cs="Arial"/>
          <w:lang w:val="es-419"/>
        </w:rPr>
        <w:t xml:space="preserve"> de GEI</w:t>
      </w:r>
      <w:r w:rsidRPr="00F00E60">
        <w:rPr>
          <w:rFonts w:ascii="Verdana" w:eastAsia="Arial" w:hAnsi="Verdana" w:cs="Arial"/>
          <w:lang w:val="es-419"/>
        </w:rPr>
        <w:t xml:space="preserve"> significativas frente a entidades territoriales de mayor categoría.</w:t>
      </w:r>
    </w:p>
    <w:p w14:paraId="4718E56A" w14:textId="77777777" w:rsidR="00F00E60" w:rsidRPr="00F00E60" w:rsidRDefault="00F00E60" w:rsidP="00F00E60">
      <w:pPr>
        <w:spacing w:after="120" w:line="240" w:lineRule="auto"/>
        <w:jc w:val="both"/>
        <w:rPr>
          <w:rFonts w:ascii="Verdana" w:eastAsia="Arial" w:hAnsi="Verdana" w:cs="Arial"/>
          <w:lang w:val="es-419"/>
        </w:rPr>
      </w:pPr>
      <w:r w:rsidRPr="00F00E60">
        <w:rPr>
          <w:rFonts w:ascii="Verdana" w:eastAsia="Arial" w:hAnsi="Verdana" w:cs="Arial"/>
          <w:lang w:val="es-419"/>
        </w:rPr>
        <w:t>La delimitación del ámbito de aplicación obligatorio del ROE respecto de estos segmentos resulta coherente con el principio de proporcionalidad regulatoria y con el enfoque gradual adoptado para la implementación del instrumento, en la medida en que permite focalizar las obligaciones de reporte en aquellos actores con mayores capacidades organizacionales y mayor potencial de generación de emisiones relevantes para los fines del ROE, optimizando al mismo tiempo los esfuerzos institucionales de acompañamiento, supervisión y administración del instrumento.</w:t>
      </w:r>
    </w:p>
    <w:p w14:paraId="4D606F88" w14:textId="5FC2F701" w:rsidR="00F00E60" w:rsidRPr="00080247" w:rsidRDefault="00F00E60" w:rsidP="00080247">
      <w:pPr>
        <w:spacing w:after="120" w:line="240" w:lineRule="auto"/>
        <w:jc w:val="both"/>
        <w:rPr>
          <w:rFonts w:ascii="Verdana" w:eastAsia="Arial" w:hAnsi="Verdana" w:cs="Arial"/>
          <w:lang w:val="es-419"/>
        </w:rPr>
      </w:pPr>
      <w:r w:rsidRPr="00F00E60">
        <w:rPr>
          <w:rFonts w:ascii="Verdana" w:eastAsia="Arial" w:hAnsi="Verdana" w:cs="Arial"/>
          <w:lang w:val="es-419"/>
        </w:rPr>
        <w:t>Adicionalmente, la no inclusión de dichos segmentos no desvirtúa los objetivos del ROE ni compromete la utilidad estratégica de la información generada, en la medida en que el diseño general del instrumento continúa priorizando la captura de información de los actores con mayor relevancia relativa en términos de emisiones y con mayores capacidades organizacionales para implementar adecuadamente procesos de monitoreo, reporte y verificación de GEI.</w:t>
      </w:r>
    </w:p>
    <w:p w14:paraId="2A047783" w14:textId="11DDB488" w:rsidR="00563E43" w:rsidRDefault="00477D98" w:rsidP="00E475D6">
      <w:pPr>
        <w:pStyle w:val="Ttulo1"/>
        <w:jc w:val="both"/>
        <w:rPr>
          <w:rFonts w:ascii="Verdana" w:hAnsi="Verdana"/>
          <w:b/>
          <w:bCs/>
          <w:sz w:val="22"/>
          <w:szCs w:val="22"/>
        </w:rPr>
      </w:pPr>
      <w:r>
        <w:rPr>
          <w:rFonts w:ascii="Verdana" w:hAnsi="Verdana"/>
          <w:b/>
          <w:bCs/>
          <w:sz w:val="22"/>
          <w:szCs w:val="22"/>
        </w:rPr>
        <w:t>8</w:t>
      </w:r>
      <w:r w:rsidR="00563E43" w:rsidRPr="00563E43">
        <w:rPr>
          <w:rFonts w:ascii="Verdana" w:hAnsi="Verdana"/>
          <w:b/>
          <w:bCs/>
          <w:sz w:val="22"/>
          <w:szCs w:val="22"/>
        </w:rPr>
        <w:t>. Justificación de la diferenciación de los procesos de verificación según el nivel de emisiones de GEI</w:t>
      </w:r>
    </w:p>
    <w:p w14:paraId="1E350BEB" w14:textId="53DBAFAC" w:rsidR="00AA4F2F" w:rsidRPr="00AA4F2F" w:rsidRDefault="00AA4F2F" w:rsidP="00AA4F2F">
      <w:pPr>
        <w:spacing w:after="120" w:line="240" w:lineRule="auto"/>
        <w:jc w:val="both"/>
        <w:rPr>
          <w:rFonts w:ascii="Verdana" w:eastAsia="Arial" w:hAnsi="Verdana" w:cs="Arial"/>
          <w:lang w:val="es-419"/>
        </w:rPr>
      </w:pPr>
      <w:r w:rsidRPr="00AA4F2F">
        <w:rPr>
          <w:rFonts w:ascii="Verdana" w:eastAsia="Arial" w:hAnsi="Verdana" w:cs="Arial"/>
          <w:lang w:val="es-419"/>
        </w:rPr>
        <w:t xml:space="preserve">La verificación de la información reportada en el marco del Reporte Obligatorio de Emisiones de GEI (ROE) constituye un elemento esencial para garantizar la confiabilidad, trazabilidad y robustez técnica de los inventarios organizacionales de emisiones de GEI, así como para asegurar la integridad de la información utilizada en la toma de decisiones de política pública asociadas a la gestión de la mitigación del cambio climático. En este sentido, el diseño del ROE contempla un esquema diferenciado de verificación en función del nivel de emisiones reportadas por las personas jurídicas obligadas, estableciendo la aplicación de procesos de verificación de primera parte para organizaciones cuyas emisiones se encuentren entre 11.000 </w:t>
      </w:r>
      <w:proofErr w:type="spellStart"/>
      <w:r w:rsidRPr="00AA4F2F">
        <w:rPr>
          <w:rFonts w:ascii="Verdana" w:eastAsia="Arial" w:hAnsi="Verdana" w:cs="Arial"/>
          <w:lang w:val="es-419"/>
        </w:rPr>
        <w:t>tCO₂eq</w:t>
      </w:r>
      <w:proofErr w:type="spellEnd"/>
      <w:r w:rsidRPr="00AA4F2F">
        <w:rPr>
          <w:rFonts w:ascii="Verdana" w:eastAsia="Arial" w:hAnsi="Verdana" w:cs="Arial"/>
          <w:lang w:val="es-419"/>
        </w:rPr>
        <w:t xml:space="preserve">/año y menos de 25.000 </w:t>
      </w:r>
      <w:proofErr w:type="spellStart"/>
      <w:r w:rsidRPr="00AA4F2F">
        <w:rPr>
          <w:rFonts w:ascii="Verdana" w:eastAsia="Arial" w:hAnsi="Verdana" w:cs="Arial"/>
          <w:lang w:val="es-419"/>
        </w:rPr>
        <w:t>tCO₂eq</w:t>
      </w:r>
      <w:proofErr w:type="spellEnd"/>
      <w:r w:rsidRPr="00AA4F2F">
        <w:rPr>
          <w:rFonts w:ascii="Verdana" w:eastAsia="Arial" w:hAnsi="Verdana" w:cs="Arial"/>
          <w:lang w:val="es-419"/>
        </w:rPr>
        <w:t xml:space="preserve">/año, y </w:t>
      </w:r>
      <w:r w:rsidRPr="0042048B">
        <w:rPr>
          <w:rFonts w:ascii="Verdana" w:eastAsia="Arial" w:hAnsi="Verdana" w:cs="Arial"/>
          <w:lang w:val="es-419"/>
        </w:rPr>
        <w:t xml:space="preserve">procesos de verificación de tercera parte acreditada para aquellas cuyas emisiones sean iguales o superiores a 25.000 </w:t>
      </w:r>
      <w:proofErr w:type="spellStart"/>
      <w:r w:rsidRPr="0042048B">
        <w:rPr>
          <w:rFonts w:ascii="Verdana" w:eastAsia="Arial" w:hAnsi="Verdana" w:cs="Arial"/>
          <w:lang w:val="es-419"/>
        </w:rPr>
        <w:t>tCO₂eq</w:t>
      </w:r>
      <w:proofErr w:type="spellEnd"/>
      <w:r w:rsidRPr="0042048B">
        <w:rPr>
          <w:rFonts w:ascii="Verdana" w:eastAsia="Arial" w:hAnsi="Verdana" w:cs="Arial"/>
          <w:lang w:val="es-419"/>
        </w:rPr>
        <w:t>/año, conforme a lo previsto en los artículos 2</w:t>
      </w:r>
      <w:r w:rsidR="00F21AA3" w:rsidRPr="0042048B">
        <w:rPr>
          <w:rFonts w:ascii="Verdana" w:eastAsia="Arial" w:hAnsi="Verdana" w:cs="Arial"/>
          <w:lang w:val="es-419"/>
        </w:rPr>
        <w:t>4</w:t>
      </w:r>
      <w:r w:rsidRPr="0042048B">
        <w:rPr>
          <w:rFonts w:ascii="Verdana" w:eastAsia="Arial" w:hAnsi="Verdana" w:cs="Arial"/>
          <w:lang w:val="es-419"/>
        </w:rPr>
        <w:t>, 2</w:t>
      </w:r>
      <w:r w:rsidR="00F21AA3" w:rsidRPr="0042048B">
        <w:rPr>
          <w:rFonts w:ascii="Verdana" w:eastAsia="Arial" w:hAnsi="Verdana" w:cs="Arial"/>
          <w:lang w:val="es-419"/>
        </w:rPr>
        <w:t>5</w:t>
      </w:r>
      <w:r w:rsidRPr="0042048B">
        <w:rPr>
          <w:rFonts w:ascii="Verdana" w:eastAsia="Arial" w:hAnsi="Verdana" w:cs="Arial"/>
          <w:lang w:val="es-419"/>
        </w:rPr>
        <w:t xml:space="preserve"> y 2</w:t>
      </w:r>
      <w:r w:rsidR="00F21AA3" w:rsidRPr="0042048B">
        <w:rPr>
          <w:rFonts w:ascii="Verdana" w:eastAsia="Arial" w:hAnsi="Verdana" w:cs="Arial"/>
          <w:lang w:val="es-419"/>
        </w:rPr>
        <w:t>6</w:t>
      </w:r>
      <w:r w:rsidRPr="0042048B">
        <w:rPr>
          <w:rFonts w:ascii="Verdana" w:eastAsia="Arial" w:hAnsi="Verdana" w:cs="Arial"/>
          <w:lang w:val="es-419"/>
        </w:rPr>
        <w:t xml:space="preserve"> de la presente resolución.</w:t>
      </w:r>
    </w:p>
    <w:p w14:paraId="2ED972B6" w14:textId="77777777" w:rsidR="00AA4F2F" w:rsidRPr="00AA4F2F" w:rsidRDefault="00AA4F2F" w:rsidP="00AA4F2F">
      <w:pPr>
        <w:spacing w:after="120" w:line="240" w:lineRule="auto"/>
        <w:jc w:val="both"/>
        <w:rPr>
          <w:rFonts w:ascii="Verdana" w:eastAsia="Arial" w:hAnsi="Verdana" w:cs="Arial"/>
          <w:lang w:val="es-419"/>
        </w:rPr>
      </w:pPr>
      <w:r w:rsidRPr="00AA4F2F">
        <w:rPr>
          <w:rFonts w:ascii="Verdana" w:eastAsia="Arial" w:hAnsi="Verdana" w:cs="Arial"/>
          <w:lang w:val="es-419"/>
        </w:rPr>
        <w:t xml:space="preserve">La diferenciación de los procesos de verificación en función del nivel de emisiones responde al principio de proporcionalidad regulatoria, en la medida en que permite modular la intensidad de las exigencias de aseguramiento de la </w:t>
      </w:r>
      <w:r w:rsidRPr="00AA4F2F">
        <w:rPr>
          <w:rFonts w:ascii="Verdana" w:eastAsia="Arial" w:hAnsi="Verdana" w:cs="Arial"/>
          <w:lang w:val="es-419"/>
        </w:rPr>
        <w:lastRenderedPageBreak/>
        <w:t>información de acuerdo con la relevancia potencial de las emisiones reportadas y con el nivel de riesgo asociado al uso regulatorio de dicha información. Bajo este enfoque, resulta técnicamente razonable exigir mayores niveles de independencia y rigurosidad en la verificación de aquellos inventarios correspondientes a organizaciones con mayores niveles de emisión, dado su mayor peso relativo en la información consolidada del ROE y su potencial incidencia en la formulación e implementación de instrumentos de política climática.</w:t>
      </w:r>
    </w:p>
    <w:p w14:paraId="4B77625E" w14:textId="77777777" w:rsidR="00AA4F2F" w:rsidRPr="00AA4F2F" w:rsidRDefault="00AA4F2F" w:rsidP="00AA4F2F">
      <w:pPr>
        <w:spacing w:after="120" w:line="240" w:lineRule="auto"/>
        <w:jc w:val="both"/>
        <w:rPr>
          <w:rFonts w:ascii="Verdana" w:eastAsia="Arial" w:hAnsi="Verdana" w:cs="Arial"/>
          <w:lang w:val="es-419"/>
        </w:rPr>
      </w:pPr>
      <w:r w:rsidRPr="00AA4F2F">
        <w:rPr>
          <w:rFonts w:ascii="Verdana" w:eastAsia="Arial" w:hAnsi="Verdana" w:cs="Arial"/>
          <w:lang w:val="es-419"/>
        </w:rPr>
        <w:t xml:space="preserve">Particularmente, la adopción de un nivel reforzado de aseguramiento para organizaciones con emisiones iguales o superiores a 25.000 </w:t>
      </w:r>
      <w:proofErr w:type="spellStart"/>
      <w:r w:rsidRPr="00AA4F2F">
        <w:rPr>
          <w:rFonts w:ascii="Verdana" w:eastAsia="Arial" w:hAnsi="Verdana" w:cs="Arial"/>
          <w:lang w:val="es-419"/>
        </w:rPr>
        <w:t>tCO₂eq</w:t>
      </w:r>
      <w:proofErr w:type="spellEnd"/>
      <w:r w:rsidRPr="00AA4F2F">
        <w:rPr>
          <w:rFonts w:ascii="Verdana" w:eastAsia="Arial" w:hAnsi="Verdana" w:cs="Arial"/>
          <w:lang w:val="es-419"/>
        </w:rPr>
        <w:t xml:space="preserve">/año resulta consistente con la necesidad de contar con información de mayor robustez y certeza sobre aquellas fuentes de emisión que, por su magnitud, podrían resultar especialmente relevantes para fines de monitoreo, análisis y articulación regulatoria con el Programa Nacional de Cupos Transables de Emisión de GEI (PNCTE), como instrumento económico de mitigación creado por el artículo 30 de la Ley 1931 de 2018. Lo anterior considerando que dicho Programa prevé un umbral de emisiones de 25.000 </w:t>
      </w:r>
      <w:proofErr w:type="spellStart"/>
      <w:r w:rsidRPr="00AA4F2F">
        <w:rPr>
          <w:rFonts w:ascii="Verdana" w:eastAsia="Arial" w:hAnsi="Verdana" w:cs="Arial"/>
          <w:lang w:val="es-419"/>
        </w:rPr>
        <w:t>tCO₂eq</w:t>
      </w:r>
      <w:proofErr w:type="spellEnd"/>
      <w:r w:rsidRPr="00AA4F2F">
        <w:rPr>
          <w:rFonts w:ascii="Verdana" w:eastAsia="Arial" w:hAnsi="Verdana" w:cs="Arial"/>
          <w:lang w:val="es-419"/>
        </w:rPr>
        <w:t>/año para la determinación de los agentes regulados, sin que la adopción de este mismo referente en el marco del ROE implique, por sí misma, la determinación automática de dicha condición regulatoria. En este sentido, la exigencia de verificación por tercera parte acreditada para este segmento contribuye a fortalecer la confiabilidad de la información asociada a organizaciones con emisiones de mayor magnitud y potencial relevancia regulatoria.</w:t>
      </w:r>
    </w:p>
    <w:p w14:paraId="768E34F1" w14:textId="268677FB" w:rsidR="00AA4F2F" w:rsidRPr="00AA4F2F" w:rsidRDefault="00AA4F2F" w:rsidP="00AA4F2F">
      <w:pPr>
        <w:spacing w:after="120" w:line="240" w:lineRule="auto"/>
        <w:jc w:val="both"/>
        <w:rPr>
          <w:rFonts w:ascii="Verdana" w:eastAsia="Arial" w:hAnsi="Verdana" w:cs="Arial"/>
          <w:lang w:val="es-419"/>
        </w:rPr>
      </w:pPr>
      <w:r w:rsidRPr="00AA4F2F">
        <w:rPr>
          <w:rFonts w:ascii="Verdana" w:eastAsia="Arial" w:hAnsi="Verdana" w:cs="Arial"/>
          <w:lang w:val="es-419"/>
        </w:rPr>
        <w:t xml:space="preserve">De manera complementaria, la implementación de procesos de verificación de primera parte para </w:t>
      </w:r>
      <w:r w:rsidR="001C218A">
        <w:rPr>
          <w:rFonts w:ascii="Verdana" w:eastAsia="Arial" w:hAnsi="Verdana" w:cs="Arial"/>
          <w:lang w:val="es-419"/>
        </w:rPr>
        <w:t>personas jurídicas</w:t>
      </w:r>
      <w:r w:rsidRPr="00AA4F2F">
        <w:rPr>
          <w:rFonts w:ascii="Verdana" w:eastAsia="Arial" w:hAnsi="Verdana" w:cs="Arial"/>
          <w:lang w:val="es-419"/>
        </w:rPr>
        <w:t xml:space="preserve"> con niveles de emisión inferiores a 25.000 </w:t>
      </w:r>
      <w:proofErr w:type="spellStart"/>
      <w:r w:rsidRPr="00AA4F2F">
        <w:rPr>
          <w:rFonts w:ascii="Verdana" w:eastAsia="Arial" w:hAnsi="Verdana" w:cs="Arial"/>
          <w:lang w:val="es-419"/>
        </w:rPr>
        <w:t>tCO₂eq</w:t>
      </w:r>
      <w:proofErr w:type="spellEnd"/>
      <w:r w:rsidRPr="00AA4F2F">
        <w:rPr>
          <w:rFonts w:ascii="Verdana" w:eastAsia="Arial" w:hAnsi="Verdana" w:cs="Arial"/>
          <w:lang w:val="es-419"/>
        </w:rPr>
        <w:t xml:space="preserve">/año permite mantener un estándar adecuado de aseguramiento de la información reportada, sin imponer cargas regulatorias desproporcionadas sobre organizaciones cuyo nivel de emisiones y relevancia regulatoria relativa es menor. Lo anterior resulta particularmente importante considerando que los costos asociados a procesos de verificación por organismos acreditados de tercera parte </w:t>
      </w:r>
      <w:r w:rsidR="00FC7934">
        <w:rPr>
          <w:rFonts w:ascii="Verdana" w:eastAsia="Arial" w:hAnsi="Verdana" w:cs="Arial"/>
          <w:lang w:val="es-419"/>
        </w:rPr>
        <w:t xml:space="preserve">pueden ser </w:t>
      </w:r>
      <w:r w:rsidRPr="00AA4F2F">
        <w:rPr>
          <w:rFonts w:ascii="Verdana" w:eastAsia="Arial" w:hAnsi="Verdana" w:cs="Arial"/>
          <w:lang w:val="es-419"/>
        </w:rPr>
        <w:t>sustancialmente superiores a los de procesos de verificación de primera parte, por lo que la exigencia indiscriminada de verificación acreditada para todos los sujetos obligados podría afectar la proporcionalidad y viabilidad económica del instrumento, especialmente durante sus etapas iniciales de implementación.</w:t>
      </w:r>
    </w:p>
    <w:p w14:paraId="2071C7DE" w14:textId="77777777" w:rsidR="00AA4F2F" w:rsidRPr="00AA4F2F" w:rsidRDefault="00AA4F2F" w:rsidP="00AA4F2F">
      <w:pPr>
        <w:spacing w:after="120" w:line="240" w:lineRule="auto"/>
        <w:jc w:val="both"/>
        <w:rPr>
          <w:rFonts w:ascii="Verdana" w:eastAsia="Arial" w:hAnsi="Verdana" w:cs="Arial"/>
          <w:lang w:val="es-419"/>
        </w:rPr>
      </w:pPr>
      <w:r w:rsidRPr="00AA4F2F">
        <w:rPr>
          <w:rFonts w:ascii="Verdana" w:eastAsia="Arial" w:hAnsi="Verdana" w:cs="Arial"/>
          <w:lang w:val="es-419"/>
        </w:rPr>
        <w:t>Adicionalmente, el esquema diferenciado de verificación permite promover una transición gradual hacia niveles más altos de aseguramiento de la información reportada, fortaleciendo progresivamente la cultura organizacional de reporte, control interno y gestión de calidad de la información sobre emisiones de GEI, al tiempo que facilita el desarrollo paulatino de capacidades técnicas en el mercado nacional de servicios de verificación de GEI.</w:t>
      </w:r>
    </w:p>
    <w:p w14:paraId="5CD9B250" w14:textId="2DEF489B" w:rsidR="00C95E91" w:rsidRPr="00E475D6" w:rsidRDefault="00477D98" w:rsidP="00E475D6">
      <w:pPr>
        <w:pStyle w:val="Ttulo1"/>
        <w:jc w:val="both"/>
        <w:rPr>
          <w:rFonts w:ascii="Verdana" w:hAnsi="Verdana"/>
          <w:b/>
          <w:bCs/>
          <w:sz w:val="22"/>
          <w:szCs w:val="22"/>
          <w:lang w:val="es-419"/>
        </w:rPr>
      </w:pPr>
      <w:r>
        <w:rPr>
          <w:rFonts w:ascii="Verdana" w:hAnsi="Verdana"/>
          <w:b/>
          <w:bCs/>
          <w:sz w:val="22"/>
          <w:szCs w:val="22"/>
          <w:lang w:val="es-419"/>
        </w:rPr>
        <w:lastRenderedPageBreak/>
        <w:t>9</w:t>
      </w:r>
      <w:r w:rsidR="00E475D6">
        <w:rPr>
          <w:rFonts w:ascii="Verdana" w:hAnsi="Verdana"/>
          <w:b/>
          <w:bCs/>
          <w:sz w:val="22"/>
          <w:szCs w:val="22"/>
          <w:lang w:val="es-419"/>
        </w:rPr>
        <w:t xml:space="preserve">. </w:t>
      </w:r>
      <w:r w:rsidR="00E475D6" w:rsidRPr="00AF0A3A">
        <w:rPr>
          <w:rFonts w:ascii="Verdana" w:hAnsi="Verdana"/>
          <w:b/>
          <w:bCs/>
          <w:sz w:val="22"/>
          <w:szCs w:val="22"/>
          <w:lang w:val="es-419"/>
        </w:rPr>
        <w:t>Justificación de la adopción de un Protocolo de Cuantificación y Reporte de Emisiones de GEI para el ROE</w:t>
      </w:r>
    </w:p>
    <w:p w14:paraId="7EB1A219" w14:textId="2B0F197C" w:rsidR="004A4825" w:rsidRPr="004A4825" w:rsidRDefault="004A4825" w:rsidP="004A4825">
      <w:pPr>
        <w:spacing w:after="120" w:line="240" w:lineRule="auto"/>
        <w:jc w:val="both"/>
        <w:rPr>
          <w:rFonts w:ascii="Verdana" w:eastAsia="Arial" w:hAnsi="Verdana" w:cs="Arial"/>
          <w:lang w:val="es-419"/>
        </w:rPr>
      </w:pPr>
      <w:r w:rsidRPr="004A4825">
        <w:rPr>
          <w:rFonts w:ascii="Verdana" w:eastAsia="Arial" w:hAnsi="Verdana" w:cs="Arial"/>
          <w:lang w:val="es-419"/>
        </w:rPr>
        <w:t xml:space="preserve">La implementación del Reporte Obligatorio de Emisiones de GEI (ROE) requiere la adopción de un estándar metodológico obligatorio que establezca de manera uniforme los lineamientos, criterios, metodologías y condiciones aplicables a la cuantificación, consolidación, reporte y verificación de las emisiones de GEI por parte de las personas jurídicas obligadas. En este sentido, la adopción del Protocolo de Cuantificación y Reporte de Emisiones de GEI del ROE </w:t>
      </w:r>
      <w:r w:rsidR="00C73511">
        <w:rPr>
          <w:rFonts w:ascii="Verdana" w:eastAsia="Arial" w:hAnsi="Verdana" w:cs="Arial"/>
          <w:lang w:val="es-419"/>
        </w:rPr>
        <w:t xml:space="preserve">(Protocolo ROE) </w:t>
      </w:r>
      <w:r w:rsidRPr="004A4825">
        <w:rPr>
          <w:rFonts w:ascii="Verdana" w:eastAsia="Arial" w:hAnsi="Verdana" w:cs="Arial"/>
          <w:lang w:val="es-419"/>
        </w:rPr>
        <w:t xml:space="preserve">como parte integral de la presente resolución responde a la necesidad de garantizar que la información generada en el marco del instrumento sea técnicamente consistente, comparable, verificable y utilizable para fines regulatorios y de política pública. </w:t>
      </w:r>
    </w:p>
    <w:p w14:paraId="7FA49562" w14:textId="77777777" w:rsidR="004A4825" w:rsidRPr="004A4825" w:rsidRDefault="004A4825" w:rsidP="004A4825">
      <w:pPr>
        <w:spacing w:after="120" w:line="240" w:lineRule="auto"/>
        <w:jc w:val="both"/>
        <w:rPr>
          <w:rFonts w:ascii="Verdana" w:eastAsia="Arial" w:hAnsi="Verdana" w:cs="Arial"/>
          <w:lang w:val="es-419"/>
        </w:rPr>
      </w:pPr>
      <w:r w:rsidRPr="004A4825">
        <w:rPr>
          <w:rFonts w:ascii="Verdana" w:eastAsia="Arial" w:hAnsi="Verdana" w:cs="Arial"/>
          <w:lang w:val="es-419"/>
        </w:rPr>
        <w:t xml:space="preserve">Si bien estándares internacionales como el GHG </w:t>
      </w:r>
      <w:proofErr w:type="spellStart"/>
      <w:r w:rsidRPr="004A4825">
        <w:rPr>
          <w:rFonts w:ascii="Verdana" w:eastAsia="Arial" w:hAnsi="Verdana" w:cs="Arial"/>
          <w:lang w:val="es-419"/>
        </w:rPr>
        <w:t>Protocol</w:t>
      </w:r>
      <w:proofErr w:type="spellEnd"/>
      <w:r w:rsidRPr="004A4825">
        <w:rPr>
          <w:rFonts w:ascii="Verdana" w:eastAsia="Arial" w:hAnsi="Verdana" w:cs="Arial"/>
          <w:lang w:val="es-419"/>
        </w:rPr>
        <w:t xml:space="preserve"> </w:t>
      </w:r>
      <w:proofErr w:type="spellStart"/>
      <w:r w:rsidRPr="004A4825">
        <w:rPr>
          <w:rFonts w:ascii="Verdana" w:eastAsia="Arial" w:hAnsi="Verdana" w:cs="Arial"/>
          <w:lang w:val="es-419"/>
        </w:rPr>
        <w:t>Corporate</w:t>
      </w:r>
      <w:proofErr w:type="spellEnd"/>
      <w:r w:rsidRPr="004A4825">
        <w:rPr>
          <w:rFonts w:ascii="Verdana" w:eastAsia="Arial" w:hAnsi="Verdana" w:cs="Arial"/>
          <w:lang w:val="es-419"/>
        </w:rPr>
        <w:t xml:space="preserve"> Standard y la ISO 14064-1 constituyen referentes técnicos ampliamente reconocidos para la cuantificación y reporte organizacional de emisiones de GEI, dichos instrumentos fueron concebidos para su aplicación en contextos diversos y conservan un grado importante de flexibilidad metodológica en aspectos tales como la delimitación organizacional, la selección de metodologías de cuantificación, el uso de factores de emisión y la estructuración de los reportes. Aunque esta flexibilidad resulta adecuada en esquemas voluntarios o de divulgación corporativa, su aplicación directa en un sistema obligatorio de reporte puede generar divergencias metodológicas entre sujetos obligados, afectando la comparabilidad, consistencia y verificabilidad de la información reportada.</w:t>
      </w:r>
    </w:p>
    <w:p w14:paraId="6803DDFD" w14:textId="77777777" w:rsidR="004A4825" w:rsidRPr="004A4825" w:rsidRDefault="004A4825" w:rsidP="004A4825">
      <w:pPr>
        <w:spacing w:after="120" w:line="240" w:lineRule="auto"/>
        <w:jc w:val="both"/>
        <w:rPr>
          <w:rFonts w:ascii="Verdana" w:eastAsia="Arial" w:hAnsi="Verdana" w:cs="Arial"/>
          <w:lang w:val="es-419"/>
        </w:rPr>
      </w:pPr>
      <w:r w:rsidRPr="004A4825">
        <w:rPr>
          <w:rFonts w:ascii="Verdana" w:eastAsia="Arial" w:hAnsi="Verdana" w:cs="Arial"/>
          <w:lang w:val="es-419"/>
        </w:rPr>
        <w:t>En este contexto, la adopción de un protocolo metodológico propio permite traducir los principios y lineamientos generales contenidos en dichos estándares internacionales en reglas operativas uniformes, adaptadas al contexto regulatorio, productivo y energético colombiano, eliminando espacios de discrecionalidad metodológica incompatibles con la naturaleza obligatoria y regulatoria del ROE. Lo anterior resulta particularmente relevante considerando que la información generada por el ROE tiene vocación de ser utilizada en procesos de seguimiento de política climática, monitoreo de metas de mitigación, consolidación de información climática oficial y articulación con otros instrumentos regulatorios, incluyendo el Programa Nacional de Cupos Transables de Emisión de GEI (PNCTE).</w:t>
      </w:r>
    </w:p>
    <w:p w14:paraId="776829D1" w14:textId="77777777" w:rsidR="004A4825" w:rsidRPr="004A4825" w:rsidRDefault="004A4825" w:rsidP="004A4825">
      <w:pPr>
        <w:spacing w:after="120" w:line="240" w:lineRule="auto"/>
        <w:jc w:val="both"/>
        <w:rPr>
          <w:rFonts w:ascii="Verdana" w:eastAsia="Arial" w:hAnsi="Verdana" w:cs="Arial"/>
          <w:lang w:val="es-419"/>
        </w:rPr>
      </w:pPr>
      <w:r w:rsidRPr="004A4825">
        <w:rPr>
          <w:rFonts w:ascii="Verdana" w:eastAsia="Arial" w:hAnsi="Verdana" w:cs="Arial"/>
          <w:lang w:val="es-419"/>
        </w:rPr>
        <w:t xml:space="preserve">Adicionalmente, la adopción del Protocolo del ROE permite asegurar que los procesos de verificación previstos en la presente resolución se desarrollen sobre una base técnica homogénea, al establecer un referente metodológico único frente al cual deben evaluarse los inventarios de emisiones reportados por las personas jurídicas obligadas. Esto fortalece la trazabilidad, verificabilidad y seguridad jurídica del instrumento, al reducir ambigüedades interpretativas </w:t>
      </w:r>
      <w:r w:rsidRPr="004A4825">
        <w:rPr>
          <w:rFonts w:ascii="Verdana" w:eastAsia="Arial" w:hAnsi="Verdana" w:cs="Arial"/>
          <w:lang w:val="es-419"/>
        </w:rPr>
        <w:lastRenderedPageBreak/>
        <w:t>sobre los criterios metodológicos aplicables y asegurar uniformidad en los procesos de aseguramiento de la información.</w:t>
      </w:r>
    </w:p>
    <w:p w14:paraId="7219413E" w14:textId="77777777" w:rsidR="004A4825" w:rsidRPr="004A4825" w:rsidRDefault="004A4825" w:rsidP="004A4825">
      <w:pPr>
        <w:spacing w:after="120" w:line="240" w:lineRule="auto"/>
        <w:jc w:val="both"/>
        <w:rPr>
          <w:rFonts w:ascii="Verdana" w:eastAsia="Arial" w:hAnsi="Verdana" w:cs="Arial"/>
          <w:lang w:val="es-419"/>
        </w:rPr>
      </w:pPr>
      <w:r w:rsidRPr="004A4825">
        <w:rPr>
          <w:rFonts w:ascii="Verdana" w:eastAsia="Arial" w:hAnsi="Verdana" w:cs="Arial"/>
          <w:lang w:val="es-419"/>
        </w:rPr>
        <w:t>De igual forma, el Protocolo del ROE permite incorporar lineamientos metodológicos alineados con el contexto nacional, incluyendo el uso prioritario de factores de emisión oficiales, la adopción de potenciales de calentamiento global consistentes con los utilizados en los reportes nacionales y la incorporación de criterios metodológicos adaptados a las características del sistema productivo y energético del país. Esta alineación favorece la integración de la información generada en el marco del ROE con otros procesos nacionales de monitoreo, reporte y gestión de información climática.</w:t>
      </w:r>
    </w:p>
    <w:p w14:paraId="4DE8CD5A" w14:textId="77777777" w:rsidR="004A4825" w:rsidRPr="004A4825" w:rsidRDefault="004A4825" w:rsidP="004A4825">
      <w:pPr>
        <w:spacing w:after="120" w:line="240" w:lineRule="auto"/>
        <w:jc w:val="both"/>
        <w:rPr>
          <w:rFonts w:ascii="Verdana" w:eastAsia="Arial" w:hAnsi="Verdana" w:cs="Arial"/>
          <w:lang w:val="es-419"/>
        </w:rPr>
      </w:pPr>
      <w:r w:rsidRPr="004A4825">
        <w:rPr>
          <w:rFonts w:ascii="Verdana" w:eastAsia="Arial" w:hAnsi="Verdana" w:cs="Arial"/>
          <w:lang w:val="es-419"/>
        </w:rPr>
        <w:t>La experiencia comparada en materia de sistemas obligatorios de reporte de emisiones evidencia que, cuando la información de emisiones tiene implicaciones regulatorias o de política pública, los Estados suelen complementar los estándares internacionales con marcos metodológicos propios que establecen reglas operativas uniformes para la cuantificación, reporte y verificación de emisiones, a efectos de garantizar la integridad, comparabilidad y utilidad regulatoria de la información generada.</w:t>
      </w:r>
    </w:p>
    <w:p w14:paraId="769C70D7" w14:textId="6525A063" w:rsidR="00734CAE" w:rsidRDefault="004A4825" w:rsidP="008149A6">
      <w:pPr>
        <w:spacing w:after="120" w:line="240" w:lineRule="auto"/>
        <w:jc w:val="both"/>
        <w:rPr>
          <w:rFonts w:ascii="Verdana" w:eastAsia="Arial" w:hAnsi="Verdana" w:cs="Arial"/>
        </w:rPr>
      </w:pPr>
      <w:r w:rsidRPr="004A4825">
        <w:rPr>
          <w:rFonts w:ascii="Verdana" w:eastAsia="Arial" w:hAnsi="Verdana" w:cs="Arial"/>
          <w:lang w:val="es-419"/>
        </w:rPr>
        <w:t>Finalmente, la adopción de un protocolo metodológico propio otorga al Ministerio de Ambiente y Desarrollo Sostenible la posibilidad de actualizar progresivamente los lineamientos técnicos aplicables al ROE en función de la evolución de las mejores prácticas internacionales, la disponibilidad de nueva información técnica, el desarrollo de factores de emisión nacionales, los avances tecnológicos y las necesidades de articulación con otros instrumentos de política climática, sin requerir modificaciones estructurales al marco general de la resolución.</w:t>
      </w:r>
    </w:p>
    <w:p w14:paraId="395B9BD7" w14:textId="77777777" w:rsidR="00286C20" w:rsidRPr="0042048B" w:rsidRDefault="00286C20" w:rsidP="00286C20">
      <w:pPr>
        <w:pStyle w:val="Ttulo1"/>
        <w:jc w:val="both"/>
        <w:rPr>
          <w:rFonts w:ascii="Verdana" w:hAnsi="Verdana"/>
          <w:b/>
          <w:bCs/>
          <w:sz w:val="22"/>
          <w:szCs w:val="22"/>
          <w:lang w:val="es-419"/>
        </w:rPr>
      </w:pPr>
      <w:r w:rsidRPr="0042048B">
        <w:rPr>
          <w:rFonts w:ascii="Verdana" w:hAnsi="Verdana"/>
          <w:b/>
          <w:bCs/>
          <w:sz w:val="22"/>
          <w:szCs w:val="22"/>
          <w:lang w:val="es-419"/>
        </w:rPr>
        <w:t>10. Justificación de la divulgación y acceso público a la información del ROE.</w:t>
      </w:r>
    </w:p>
    <w:p w14:paraId="0A765DA7" w14:textId="521F236B"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t xml:space="preserve">La divulgación y acceso público a la información generada en el marco del Reporte Obligatorio de Emisiones de GEI (ROE) constituye un componente fundamental del diseño del instrumento, en la medida en que permite maximizar la utilidad pública de la información recopilada, fortalecer la transparencia climática y </w:t>
      </w:r>
      <w:r w:rsidR="00962A52" w:rsidRPr="0042048B">
        <w:rPr>
          <w:rFonts w:ascii="Verdana" w:eastAsia="Arial" w:hAnsi="Verdana" w:cs="Arial"/>
        </w:rPr>
        <w:t>promover su utilización para la formulación, implementación y evaluación de políticas, planes, programas e instrumentos relacionados con la mitigación del cambio climático</w:t>
      </w:r>
      <w:r w:rsidRPr="0042048B">
        <w:rPr>
          <w:rFonts w:ascii="Verdana" w:eastAsia="Arial" w:hAnsi="Verdana" w:cs="Arial"/>
          <w:lang w:val="es-419"/>
        </w:rPr>
        <w:t>.</w:t>
      </w:r>
    </w:p>
    <w:p w14:paraId="79F37B46" w14:textId="77777777"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t xml:space="preserve">La información generada en el marco del ROE constituye un insumo estratégico para la gestión del cambio climático en Colombia, al permitir disponer de información estandarizada, comparable y trazable sobre las emisiones de gases de efecto invernadero de las personas jurídicas públicas, privadas o mixtas sujetas al instrumento. En este contexto, la divulgación de información consolidada y el acceso público a los resultados derivados del ROE constituyen elementos complementarios al proceso de cuantificación, reporte y verificación </w:t>
      </w:r>
      <w:r w:rsidRPr="0042048B">
        <w:rPr>
          <w:rFonts w:ascii="Verdana" w:eastAsia="Arial" w:hAnsi="Verdana" w:cs="Arial"/>
          <w:lang w:val="es-419"/>
        </w:rPr>
        <w:lastRenderedPageBreak/>
        <w:t>de emisiones, orientados a maximizar el valor público de la información generada y fortalecer los procesos de toma de decisiones basados en evidencia.</w:t>
      </w:r>
    </w:p>
    <w:p w14:paraId="0CCD21B2" w14:textId="77777777"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t>La incorporación de mecanismos de divulgación y acceso a la información responde a la necesidad de fortalecer la transparencia climática, entendida como la disponibilidad de información oportuna, confiable y comprensible que permita a los distintos actores conocer y analizar la evolución de las emisiones de GEI y los avances asociados a la implementación de las políticas e instrumentos de mitigación del cambio climático. Esta orientación es consistente con el principio de transparencia previsto en el artículo 4 de la presente resolución, el cual establece la necesidad de documentar de manera completa y detallada la información utilizada para la cuantificación y reporte de las emisiones de GEI, así como garantizar el acceso público a la información en los términos de la Ley 1712 de 2014.</w:t>
      </w:r>
    </w:p>
    <w:p w14:paraId="3492677B" w14:textId="77777777"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t>De igual manera, la Plataforma ROE se concibe no solamente como un mecanismo para la captura, procesamiento y almacenamiento de información sobre emisiones de GEI, sino también como una herramienta para facilitar el acceso y divulgación de información pública relacionada con la gestión del cambio climático, de conformidad con lo establecido en el artículo 8 de la presente resolución. Lo anterior permite ampliar el alcance y utilidad del instrumento más allá de las actividades de reporte, favoreciendo la generación de conocimiento y el acceso a información de interés público.</w:t>
      </w:r>
    </w:p>
    <w:p w14:paraId="25C10A8E" w14:textId="77777777" w:rsidR="00E1227F" w:rsidRPr="0042048B" w:rsidRDefault="00E1227F" w:rsidP="00286C20">
      <w:pPr>
        <w:spacing w:after="120" w:line="240" w:lineRule="auto"/>
        <w:jc w:val="both"/>
        <w:rPr>
          <w:rFonts w:ascii="Verdana" w:eastAsia="Arial" w:hAnsi="Verdana" w:cs="Arial"/>
        </w:rPr>
      </w:pPr>
      <w:r w:rsidRPr="0042048B">
        <w:rPr>
          <w:rFonts w:ascii="Verdana" w:eastAsia="Arial" w:hAnsi="Verdana" w:cs="Arial"/>
        </w:rPr>
        <w:t>La divulgación periódica de estadísticas, informes y análisis derivados de la información reportada permite ampliar el conocimiento sobre las dinámicas de emisión de GEI en distintos sectores económicos e institucionales, facilitando la identificación de tendencias, oportunidades de mitigación y necesidades de fortalecimiento de capacidades. Esta información constituye un insumo relevante para la formulación, implementación y evaluación de políticas públicas, programas e instrumentos relacionados con la mitigación del cambio climático, así como para el desarrollo de investigaciones, análisis sectoriales y ejercicios de planificación climática por parte de entidades públicas, academia, sector privado y organizaciones de la sociedad civil. Así mismo, la disponibilidad de información sistematizada y accesible contribuye al fortalecimiento progresivo de las capacidades técnicas e institucionales de los distintos actores involucrados en la gestión de las emisiones de GEI, favoreciendo una mayor comprensión de los procesos de cuantificación, reporte y gestión de emisiones.</w:t>
      </w:r>
    </w:p>
    <w:p w14:paraId="4F54570D" w14:textId="207E813E"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t xml:space="preserve">En este sentido, las disposiciones contenidas en el artículo 28 de la presente resolución, relacionadas con el uso y divulgación de la información del ROE, permiten que la información recopilada sea utilizada para la generación y publicación de informes anuales, informes periódicos, análisis sectoriales, </w:t>
      </w:r>
      <w:r w:rsidR="008D39DC" w:rsidRPr="0042048B">
        <w:rPr>
          <w:rFonts w:ascii="Verdana" w:eastAsia="Arial" w:hAnsi="Verdana" w:cs="Arial"/>
        </w:rPr>
        <w:t xml:space="preserve">evaluaciones de tendencias de emisiones, seguimiento a la implementación del instrumento y al cumplimiento de las obligaciones previstas en la presente resolución, y demás productos de conocimiento </w:t>
      </w:r>
      <w:r w:rsidRPr="0042048B">
        <w:rPr>
          <w:rFonts w:ascii="Verdana" w:eastAsia="Arial" w:hAnsi="Verdana" w:cs="Arial"/>
          <w:lang w:val="es-419"/>
        </w:rPr>
        <w:t xml:space="preserve">relevantes para la gestión del </w:t>
      </w:r>
      <w:r w:rsidRPr="0042048B">
        <w:rPr>
          <w:rFonts w:ascii="Verdana" w:eastAsia="Arial" w:hAnsi="Verdana" w:cs="Arial"/>
          <w:lang w:val="es-419"/>
        </w:rPr>
        <w:lastRenderedPageBreak/>
        <w:t>cambio climático. Así mismo, permiten la divulgación de información agregada y consolidada a través de la Plataforma ROE u otros medios oficiales, fortaleciendo la transparencia y el acceso a la información ambiental.</w:t>
      </w:r>
    </w:p>
    <w:p w14:paraId="719C695B" w14:textId="77777777"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t>La disponibilidad de información agregada y consolidada favorece igualmente los procesos de rendición de cuentas y participación de los distintos actores interesados en la gestión del cambio climático, al facilitar el acceso a información sobre la evolución de las emisiones reportadas, los niveles de cumplimiento del instrumento y los resultados generales obtenidos a través de su implementación. De esta manera, el ROE contribuye no solo a la generación de información para fines regulatorios, sino también al fortalecimiento de la gobernanza climática y de los mecanismos de seguimiento social a las acciones orientadas a la reducción de emisiones de GEI.</w:t>
      </w:r>
    </w:p>
    <w:p w14:paraId="212CC838" w14:textId="77777777" w:rsidR="00AC06AA" w:rsidRPr="0042048B" w:rsidRDefault="00AC06AA" w:rsidP="00973E70">
      <w:pPr>
        <w:spacing w:after="120" w:line="240" w:lineRule="auto"/>
        <w:jc w:val="both"/>
        <w:rPr>
          <w:rFonts w:ascii="Verdana" w:eastAsia="Arial" w:hAnsi="Verdana" w:cs="Arial"/>
        </w:rPr>
      </w:pPr>
      <w:r w:rsidRPr="0042048B">
        <w:rPr>
          <w:rFonts w:ascii="Verdana" w:eastAsia="Arial" w:hAnsi="Verdana" w:cs="Arial"/>
        </w:rPr>
        <w:t>La divulgación de información derivada del ROE se complementa con las disposiciones previstas en el artículo 29 de la presente resolución, relacionadas con la responsabilidad sobre la información suministrada en el marco del instrumento. Estas disposiciones contribuyen a fortalecer la trazabilidad, documentación y consistencia de la información registrada en la Plataforma ROE, favoreciendo su utilización para fines de análisis, generación de conocimiento y toma de decisiones.</w:t>
      </w:r>
    </w:p>
    <w:p w14:paraId="5906DCD5" w14:textId="66AD4B40" w:rsidR="00973E70" w:rsidRPr="0042048B" w:rsidRDefault="00973E70" w:rsidP="00973E70">
      <w:pPr>
        <w:spacing w:after="120" w:line="240" w:lineRule="auto"/>
        <w:jc w:val="both"/>
        <w:rPr>
          <w:rFonts w:ascii="Verdana" w:eastAsia="Arial" w:hAnsi="Verdana" w:cs="Arial"/>
          <w:lang w:val="es-419"/>
        </w:rPr>
      </w:pPr>
      <w:r w:rsidRPr="0042048B">
        <w:rPr>
          <w:rFonts w:ascii="Verdana" w:eastAsia="Arial" w:hAnsi="Verdana" w:cs="Arial"/>
          <w:lang w:val="es-419"/>
        </w:rPr>
        <w:t>La información consolidada derivada del ROE también podrá constituir un insumo complementario para el análisis de tendencias de emisiones, la formulación y evaluación de instrumentos de política climática, así como para otros sistemas, herramientas e instrumentos de información relacionados con la gestión del cambio climático, incluyendo aquellos articulados en el marco del Sistema Nacional de Información sobre Cambio Climático (SNICC). No obstante, la información generada por el ROE deberá interpretarse considerando el alcance, cobertura y finalidad específica del instrumento, así como su complementariedad con otras fuentes oficiales de información sobre emisiones de GEI.</w:t>
      </w:r>
    </w:p>
    <w:p w14:paraId="6D211A76" w14:textId="3B6E65BD" w:rsidR="00286C20" w:rsidRPr="0042048B" w:rsidRDefault="00A94E4E" w:rsidP="00286C20">
      <w:pPr>
        <w:spacing w:after="120" w:line="240" w:lineRule="auto"/>
        <w:jc w:val="both"/>
        <w:rPr>
          <w:rFonts w:ascii="Verdana" w:eastAsia="Arial" w:hAnsi="Verdana" w:cs="Arial"/>
          <w:lang w:val="es-419"/>
        </w:rPr>
      </w:pPr>
      <w:r w:rsidRPr="0042048B">
        <w:rPr>
          <w:rFonts w:ascii="Verdana" w:eastAsia="Arial" w:hAnsi="Verdana" w:cs="Arial"/>
        </w:rPr>
        <w:t>Así mismo, la estructura institucional definida para el ROE incorpora mecanismos orientados a fortalecer la socialización, divulgación y aprovechamiento de la información generada. En particular, la Unidad Técnica de Apoyo del ROE tiene entre sus atribuciones promover estrategias de divulgación, socialización y sensibilización relacionadas con el instrumento, mientras que el Ministerio de Ambiente y Desarrollo Sostenible deberá analizar la información consolidada, elaborar y publicar informes, estadísticas y demás productos de información derivados del ROE, así como desarrollar estrategias de divulgación, capacitación y fortalecimiento de capacidades dirigidas a las partes interesadas. Estas disposiciones reflejan el carácter permanente de la transparencia, la generación de conocimiento y el fortalecimiento de capacidades como componentes esenciales para la implementación efectiva del ROE.</w:t>
      </w:r>
    </w:p>
    <w:p w14:paraId="2A010606" w14:textId="77777777" w:rsidR="00286C20" w:rsidRPr="0042048B" w:rsidRDefault="00286C20" w:rsidP="00286C20">
      <w:pPr>
        <w:spacing w:after="120" w:line="240" w:lineRule="auto"/>
        <w:jc w:val="both"/>
        <w:rPr>
          <w:rFonts w:ascii="Verdana" w:eastAsia="Arial" w:hAnsi="Verdana" w:cs="Arial"/>
          <w:lang w:val="es-419"/>
        </w:rPr>
      </w:pPr>
      <w:r w:rsidRPr="0042048B">
        <w:rPr>
          <w:rFonts w:ascii="Verdana" w:eastAsia="Arial" w:hAnsi="Verdana" w:cs="Arial"/>
          <w:lang w:val="es-419"/>
        </w:rPr>
        <w:lastRenderedPageBreak/>
        <w:t>No obstante, la divulgación de información derivada del ROE deberá realizarse observando las disposiciones legales aplicables en materia de acceso a la información pública, protección de datos personales, reserva legal y seguridad de la información. En consecuencia, el acceso público a la información se desarrollará garantizando un equilibrio adecuado entre la transparencia climática, la utilidad pública de la información y la protección de aquella información que tenga carácter reservado o confidencial conforme a la normativa vigente.</w:t>
      </w:r>
    </w:p>
    <w:p w14:paraId="0EF8475B" w14:textId="0909E7D6" w:rsidR="00547457" w:rsidRPr="0042048B" w:rsidRDefault="00A1707C" w:rsidP="00546B3B">
      <w:pPr>
        <w:jc w:val="both"/>
        <w:rPr>
          <w:lang w:val="es-419"/>
        </w:rPr>
      </w:pPr>
      <w:r w:rsidRPr="0042048B">
        <w:rPr>
          <w:rFonts w:ascii="Verdana" w:eastAsia="Arial" w:hAnsi="Verdana" w:cs="Arial"/>
        </w:rPr>
        <w:t>En consecuencia, la divulgación y acceso público a la información generada por el ROE constituye una medida técnicamente justificada para fortalecer la transparencia climática, promover la generación y uso de conocimiento sobre emisiones de GEI, apoyar la formulación, implementación y evaluación de políticas, programas e instrumentos relacionados con la mitigación del cambio climático, facilitar la rendición de cuentas, fortalecer la gobernanza climática y maximizar el valor público de la información recopilada en el marco del instrumento.</w:t>
      </w:r>
    </w:p>
    <w:sectPr w:rsidR="00547457" w:rsidRPr="0042048B" w:rsidSect="00726A3B">
      <w:headerReference w:type="default" r:id="rId12"/>
      <w:footerReference w:type="default" r:id="rId13"/>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63D4" w14:textId="77777777" w:rsidR="003A5EEF" w:rsidRDefault="003A5EEF" w:rsidP="00757B36">
      <w:pPr>
        <w:spacing w:after="0" w:line="240" w:lineRule="auto"/>
      </w:pPr>
      <w:r>
        <w:separator/>
      </w:r>
    </w:p>
  </w:endnote>
  <w:endnote w:type="continuationSeparator" w:id="0">
    <w:p w14:paraId="1F9492C7" w14:textId="77777777" w:rsidR="003A5EEF" w:rsidRDefault="003A5EE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Light">
    <w:altName w:val="Helvetica"/>
    <w:charset w:val="00"/>
    <w:family w:val="swiss"/>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sz w:val="18"/>
        <w:szCs w:val="18"/>
      </w:rPr>
    </w:sdtEndPr>
    <w:sdtContent>
      <w:p w14:paraId="6BF7279E" w14:textId="77777777" w:rsidR="00487B3E" w:rsidRDefault="00487B3E" w:rsidP="0022254F">
        <w:pPr>
          <w:pStyle w:val="Piedepgina"/>
          <w:jc w:val="right"/>
          <w:rPr>
            <w:lang w:val="es-ES"/>
          </w:rPr>
        </w:pPr>
      </w:p>
      <w:p w14:paraId="795CDCB7" w14:textId="5816563C" w:rsidR="0022254F" w:rsidRPr="002F186E" w:rsidRDefault="00D34D20"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8241" behindDoc="0" locked="0" layoutInCell="1" allowOverlap="1" wp14:anchorId="7AE5F12B" wp14:editId="23F87D79">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0" w:name="_Hlk173416767"/>
                              <w:r w:rsidR="0022254F" w:rsidRPr="00325C9F">
                                <w:rPr>
                                  <w:rFonts w:ascii="Verdana" w:hAnsi="Verdana"/>
                                  <w:sz w:val="18"/>
                                  <w:szCs w:val="18"/>
                                </w:rPr>
                                <w:t>31</w:t>
                              </w:r>
                              <w:r w:rsidR="00DE0A04" w:rsidRPr="00325C9F">
                                <w:rPr>
                                  <w:rFonts w:ascii="Verdana" w:hAnsi="Verdana"/>
                                  <w:sz w:val="18"/>
                                  <w:szCs w:val="18"/>
                                </w:rPr>
                                <w:t>33463676</w:t>
                              </w:r>
                              <w:bookmarkEnd w:id="0"/>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1" w:name="_Hlk173416767"/>
                        <w:r w:rsidR="0022254F" w:rsidRPr="00325C9F">
                          <w:rPr>
                            <w:rFonts w:ascii="Verdana" w:hAnsi="Verdana"/>
                            <w:sz w:val="18"/>
                            <w:szCs w:val="18"/>
                          </w:rPr>
                          <w:t>31</w:t>
                        </w:r>
                        <w:r w:rsidR="00DE0A04" w:rsidRPr="00325C9F">
                          <w:rPr>
                            <w:rFonts w:ascii="Verdana" w:hAnsi="Verdana"/>
                            <w:sz w:val="18"/>
                            <w:szCs w:val="18"/>
                          </w:rPr>
                          <w:t>33463676</w:t>
                        </w:r>
                        <w:bookmarkEnd w:id="1"/>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v:textbox>
                  <w10:wrap anchorx="margin"/>
                </v:shape>
              </w:pict>
            </mc:Fallback>
          </mc:AlternateContent>
        </w:r>
        <w:r w:rsidR="0022254F" w:rsidRPr="002F186E">
          <w:rPr>
            <w:rFonts w:ascii="Verdana" w:hAnsi="Verdana"/>
            <w:color w:val="000000"/>
            <w:sz w:val="18"/>
            <w:szCs w:val="18"/>
            <w:lang w:val="pt-PT"/>
          </w:rPr>
          <w:t xml:space="preserve">Página </w:t>
        </w:r>
        <w:r w:rsidR="0022254F" w:rsidRPr="00325C9F">
          <w:rPr>
            <w:rFonts w:ascii="Verdana" w:hAnsi="Verdana"/>
            <w:color w:val="000000"/>
            <w:sz w:val="18"/>
            <w:szCs w:val="18"/>
          </w:rPr>
          <w:fldChar w:fldCharType="begin"/>
        </w:r>
        <w:r w:rsidR="0022254F" w:rsidRPr="002F186E">
          <w:rPr>
            <w:rFonts w:ascii="Verdana" w:hAnsi="Verdana"/>
            <w:color w:val="000000"/>
            <w:sz w:val="18"/>
            <w:szCs w:val="18"/>
            <w:lang w:val="pt-PT"/>
          </w:rPr>
          <w:instrText>PAGE   \* MERGEFORMAT</w:instrText>
        </w:r>
        <w:r w:rsidR="0022254F" w:rsidRPr="00325C9F">
          <w:rPr>
            <w:rFonts w:ascii="Verdana" w:hAnsi="Verdana"/>
            <w:color w:val="000000"/>
            <w:sz w:val="18"/>
            <w:szCs w:val="18"/>
          </w:rPr>
          <w:fldChar w:fldCharType="separate"/>
        </w:r>
        <w:r w:rsidR="0022254F" w:rsidRPr="002F186E">
          <w:rPr>
            <w:rFonts w:ascii="Verdana" w:hAnsi="Verdana"/>
            <w:color w:val="000000"/>
            <w:sz w:val="18"/>
            <w:szCs w:val="18"/>
            <w:lang w:val="pt-PT"/>
          </w:rPr>
          <w:t>2</w:t>
        </w:r>
        <w:r w:rsidR="0022254F" w:rsidRPr="00325C9F">
          <w:rPr>
            <w:rFonts w:ascii="Verdana" w:hAnsi="Verdana"/>
            <w:color w:val="000000"/>
            <w:sz w:val="18"/>
            <w:szCs w:val="18"/>
          </w:rPr>
          <w:fldChar w:fldCharType="end"/>
        </w:r>
        <w:r w:rsidR="0022254F" w:rsidRPr="002F186E">
          <w:rPr>
            <w:rFonts w:ascii="Verdana" w:hAnsi="Verdana"/>
            <w:color w:val="000000"/>
            <w:sz w:val="18"/>
            <w:szCs w:val="18"/>
            <w:lang w:val="pt-PT"/>
          </w:rPr>
          <w:t xml:space="preserve"> | </w:t>
        </w:r>
        <w:r w:rsidR="0022254F" w:rsidRPr="00325C9F">
          <w:rPr>
            <w:rFonts w:ascii="Verdana" w:hAnsi="Verdana"/>
            <w:color w:val="000000"/>
            <w:sz w:val="18"/>
            <w:szCs w:val="18"/>
          </w:rPr>
          <w:fldChar w:fldCharType="begin"/>
        </w:r>
        <w:r w:rsidR="0022254F" w:rsidRPr="002F186E">
          <w:rPr>
            <w:rFonts w:ascii="Verdana" w:hAnsi="Verdana"/>
            <w:color w:val="000000"/>
            <w:sz w:val="18"/>
            <w:szCs w:val="18"/>
            <w:lang w:val="pt-PT"/>
          </w:rPr>
          <w:instrText>NUMPAGES  \* Arabic  \* MERGEFORMAT</w:instrText>
        </w:r>
        <w:r w:rsidR="0022254F" w:rsidRPr="00325C9F">
          <w:rPr>
            <w:rFonts w:ascii="Verdana" w:hAnsi="Verdana"/>
            <w:color w:val="000000"/>
            <w:sz w:val="18"/>
            <w:szCs w:val="18"/>
          </w:rPr>
          <w:fldChar w:fldCharType="separate"/>
        </w:r>
        <w:r w:rsidR="0022254F" w:rsidRPr="002F186E">
          <w:rPr>
            <w:rFonts w:ascii="Verdana" w:hAnsi="Verdana"/>
            <w:color w:val="000000"/>
            <w:sz w:val="18"/>
            <w:szCs w:val="18"/>
            <w:lang w:val="pt-PT"/>
          </w:rPr>
          <w:t>2</w:t>
        </w:r>
        <w:r w:rsidR="0022254F" w:rsidRPr="00325C9F">
          <w:rPr>
            <w:rFonts w:ascii="Verdana" w:hAnsi="Verdana"/>
            <w:color w:val="000000"/>
            <w:sz w:val="18"/>
            <w:szCs w:val="18"/>
          </w:rPr>
          <w:fldChar w:fldCharType="end"/>
        </w:r>
      </w:p>
      <w:p w14:paraId="2E27CAF7" w14:textId="77777777" w:rsidR="0022254F" w:rsidRPr="002F186E" w:rsidRDefault="0022254F" w:rsidP="0022254F">
        <w:pPr>
          <w:pStyle w:val="Piedepgina"/>
          <w:jc w:val="right"/>
          <w:rPr>
            <w:rFonts w:ascii="Verdana" w:hAnsi="Verdana"/>
            <w:color w:val="000000"/>
            <w:sz w:val="18"/>
            <w:szCs w:val="18"/>
            <w:lang w:val="pt-PT"/>
          </w:rPr>
        </w:pPr>
      </w:p>
      <w:p w14:paraId="324BE145" w14:textId="69BA40DD" w:rsidR="00D34D20" w:rsidRPr="002F186E" w:rsidRDefault="0022254F" w:rsidP="0022254F">
        <w:pPr>
          <w:pStyle w:val="Piedepgina"/>
          <w:jc w:val="right"/>
          <w:rPr>
            <w:rFonts w:ascii="Verdana" w:hAnsi="Verdana"/>
            <w:sz w:val="18"/>
            <w:szCs w:val="18"/>
            <w:lang w:val="pt-PT"/>
          </w:rPr>
        </w:pPr>
        <w:r w:rsidRPr="002F186E">
          <w:rPr>
            <w:rFonts w:ascii="Verdana" w:hAnsi="Verdana"/>
            <w:sz w:val="18"/>
            <w:szCs w:val="18"/>
            <w:lang w:val="pt-PT"/>
          </w:rPr>
          <w:t>F-E-SIG-2</w:t>
        </w:r>
        <w:r w:rsidR="008A2B01" w:rsidRPr="002F186E">
          <w:rPr>
            <w:rFonts w:ascii="Verdana" w:hAnsi="Verdana"/>
            <w:sz w:val="18"/>
            <w:szCs w:val="18"/>
            <w:lang w:val="pt-PT"/>
          </w:rPr>
          <w:t>3</w:t>
        </w:r>
        <w:r w:rsidRPr="002F186E">
          <w:rPr>
            <w:rFonts w:ascii="Verdana" w:hAnsi="Verdana"/>
            <w:sz w:val="18"/>
            <w:szCs w:val="18"/>
            <w:lang w:val="pt-PT"/>
          </w:rPr>
          <w:t>:V</w:t>
        </w:r>
        <w:r w:rsidR="008A2B01" w:rsidRPr="002F186E">
          <w:rPr>
            <w:rFonts w:ascii="Verdana" w:hAnsi="Verdana"/>
            <w:sz w:val="18"/>
            <w:szCs w:val="18"/>
            <w:lang w:val="pt-PT"/>
          </w:rPr>
          <w:t>8</w:t>
        </w:r>
        <w:r w:rsidRPr="002F186E">
          <w:rPr>
            <w:rFonts w:ascii="Verdana" w:hAnsi="Verdana"/>
            <w:sz w:val="18"/>
            <w:szCs w:val="18"/>
            <w:lang w:val="pt-PT"/>
          </w:rPr>
          <w:t xml:space="preserve"> </w:t>
        </w:r>
        <w:bookmarkStart w:id="1" w:name="_Hlk173416803"/>
        <w:r w:rsidR="00325C9F" w:rsidRPr="002F186E">
          <w:rPr>
            <w:rFonts w:ascii="Verdana" w:hAnsi="Verdana"/>
            <w:sz w:val="18"/>
            <w:szCs w:val="18"/>
            <w:lang w:val="pt-PT"/>
          </w:rPr>
          <w:t>02-08-</w:t>
        </w:r>
        <w:r w:rsidRPr="002F186E">
          <w:rPr>
            <w:rFonts w:ascii="Verdana" w:hAnsi="Verdana"/>
            <w:sz w:val="18"/>
            <w:szCs w:val="18"/>
            <w:lang w:val="pt-PT"/>
          </w:rPr>
          <w:t>2024</w:t>
        </w:r>
      </w:p>
    </w:sdtContent>
  </w:sdt>
  <w:bookmarkEnd w:id="1" w:displacedByCustomXml="prev"/>
  <w:p w14:paraId="409F4B9A" w14:textId="79830460" w:rsidR="00D34D20" w:rsidRPr="002F186E" w:rsidRDefault="00D34D20" w:rsidP="00D34D20">
    <w:pPr>
      <w:spacing w:after="0" w:line="276" w:lineRule="auto"/>
      <w:jc w:val="both"/>
      <w:rPr>
        <w:rFonts w:ascii="Helvetica" w:hAnsi="Helvetica"/>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AC5B7" w14:textId="77777777" w:rsidR="003A5EEF" w:rsidRDefault="003A5EEF" w:rsidP="00757B36">
      <w:pPr>
        <w:spacing w:after="0" w:line="240" w:lineRule="auto"/>
      </w:pPr>
      <w:r>
        <w:separator/>
      </w:r>
    </w:p>
  </w:footnote>
  <w:footnote w:type="continuationSeparator" w:id="0">
    <w:p w14:paraId="5324DE59" w14:textId="77777777" w:rsidR="003A5EEF" w:rsidRDefault="003A5EEF" w:rsidP="00757B36">
      <w:pPr>
        <w:spacing w:after="0" w:line="240" w:lineRule="auto"/>
      </w:pPr>
      <w:r>
        <w:continuationSeparator/>
      </w:r>
    </w:p>
  </w:footnote>
  <w:footnote w:id="1">
    <w:p w14:paraId="3B15CBA5" w14:textId="37239B2A" w:rsidR="002425CF" w:rsidRPr="002425CF" w:rsidRDefault="002425CF" w:rsidP="002425CF">
      <w:pPr>
        <w:pStyle w:val="Textonotapie"/>
        <w:jc w:val="both"/>
        <w:rPr>
          <w:rFonts w:ascii="Verdana" w:hAnsi="Verdana"/>
          <w:lang w:val="es-MX"/>
        </w:rPr>
      </w:pPr>
      <w:r w:rsidRPr="002425CF">
        <w:rPr>
          <w:rStyle w:val="Refdenotaalpie"/>
          <w:rFonts w:ascii="Verdana" w:hAnsi="Verdana"/>
        </w:rPr>
        <w:footnoteRef/>
      </w:r>
      <w:r w:rsidRPr="002425CF">
        <w:rPr>
          <w:rFonts w:ascii="Verdana" w:hAnsi="Verdana"/>
        </w:rPr>
        <w:t xml:space="preserve"> Algunos sistemas incluidos corresponden a instrumentos regulatorios sectoriales o vinculados a sistemas de comercio de emisiones, por lo que se presentan únicamente como referencia indicativa de rangos regulatorios observados internacionalmente.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16506"/>
    <w:multiLevelType w:val="hybridMultilevel"/>
    <w:tmpl w:val="ACC0C29C"/>
    <w:lvl w:ilvl="0" w:tplc="7A408730">
      <w:start w:val="10"/>
      <w:numFmt w:val="decimal"/>
      <w:lvlText w:val="%1."/>
      <w:lvlJc w:val="left"/>
      <w:pPr>
        <w:ind w:left="735" w:hanging="375"/>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7D8D5C1A"/>
    <w:multiLevelType w:val="hybridMultilevel"/>
    <w:tmpl w:val="30D0E326"/>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579558574">
    <w:abstractNumId w:val="1"/>
  </w:num>
  <w:num w:numId="2" w16cid:durableId="1167138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04B8"/>
    <w:rsid w:val="00000757"/>
    <w:rsid w:val="00000C4D"/>
    <w:rsid w:val="00000D9C"/>
    <w:rsid w:val="00000EF7"/>
    <w:rsid w:val="000015D8"/>
    <w:rsid w:val="0000206D"/>
    <w:rsid w:val="00002226"/>
    <w:rsid w:val="0000259B"/>
    <w:rsid w:val="000035A3"/>
    <w:rsid w:val="0000377E"/>
    <w:rsid w:val="00005120"/>
    <w:rsid w:val="00005450"/>
    <w:rsid w:val="00005C32"/>
    <w:rsid w:val="000060E0"/>
    <w:rsid w:val="00006361"/>
    <w:rsid w:val="0000667C"/>
    <w:rsid w:val="00007737"/>
    <w:rsid w:val="000077D7"/>
    <w:rsid w:val="00007984"/>
    <w:rsid w:val="00007A7A"/>
    <w:rsid w:val="00010797"/>
    <w:rsid w:val="00010DE5"/>
    <w:rsid w:val="00010F68"/>
    <w:rsid w:val="000110BF"/>
    <w:rsid w:val="00011150"/>
    <w:rsid w:val="00011489"/>
    <w:rsid w:val="0001152D"/>
    <w:rsid w:val="00011A1F"/>
    <w:rsid w:val="00011B88"/>
    <w:rsid w:val="00011ED4"/>
    <w:rsid w:val="000122AE"/>
    <w:rsid w:val="000127E1"/>
    <w:rsid w:val="00012891"/>
    <w:rsid w:val="000130AD"/>
    <w:rsid w:val="000131C2"/>
    <w:rsid w:val="000131E5"/>
    <w:rsid w:val="0001393E"/>
    <w:rsid w:val="0001488B"/>
    <w:rsid w:val="000148DF"/>
    <w:rsid w:val="00014DB5"/>
    <w:rsid w:val="000159FC"/>
    <w:rsid w:val="00015CD4"/>
    <w:rsid w:val="00015DFC"/>
    <w:rsid w:val="0001641F"/>
    <w:rsid w:val="0001654F"/>
    <w:rsid w:val="00016D95"/>
    <w:rsid w:val="000174EE"/>
    <w:rsid w:val="000176CA"/>
    <w:rsid w:val="00017BC6"/>
    <w:rsid w:val="00017C44"/>
    <w:rsid w:val="00017FCF"/>
    <w:rsid w:val="00020136"/>
    <w:rsid w:val="0002016B"/>
    <w:rsid w:val="0002025B"/>
    <w:rsid w:val="00020480"/>
    <w:rsid w:val="00021DE5"/>
    <w:rsid w:val="000220C0"/>
    <w:rsid w:val="000220F6"/>
    <w:rsid w:val="000221BA"/>
    <w:rsid w:val="0002249E"/>
    <w:rsid w:val="000228FB"/>
    <w:rsid w:val="00022AC5"/>
    <w:rsid w:val="00022C6C"/>
    <w:rsid w:val="0002357A"/>
    <w:rsid w:val="0002388E"/>
    <w:rsid w:val="000238C3"/>
    <w:rsid w:val="000240F5"/>
    <w:rsid w:val="000242DD"/>
    <w:rsid w:val="0002437A"/>
    <w:rsid w:val="0002544A"/>
    <w:rsid w:val="00025817"/>
    <w:rsid w:val="00025B1C"/>
    <w:rsid w:val="00026686"/>
    <w:rsid w:val="000268A9"/>
    <w:rsid w:val="00026910"/>
    <w:rsid w:val="00026A15"/>
    <w:rsid w:val="00027039"/>
    <w:rsid w:val="000275A6"/>
    <w:rsid w:val="00027F58"/>
    <w:rsid w:val="000307EB"/>
    <w:rsid w:val="00030C19"/>
    <w:rsid w:val="00031A01"/>
    <w:rsid w:val="00031E8E"/>
    <w:rsid w:val="00032601"/>
    <w:rsid w:val="0003297F"/>
    <w:rsid w:val="00032C04"/>
    <w:rsid w:val="00032C92"/>
    <w:rsid w:val="00032EDE"/>
    <w:rsid w:val="000332BF"/>
    <w:rsid w:val="00033573"/>
    <w:rsid w:val="0003399E"/>
    <w:rsid w:val="00033F8D"/>
    <w:rsid w:val="00034E37"/>
    <w:rsid w:val="00034F0C"/>
    <w:rsid w:val="000352E8"/>
    <w:rsid w:val="00035D0E"/>
    <w:rsid w:val="000362F7"/>
    <w:rsid w:val="00036B6D"/>
    <w:rsid w:val="00036CE2"/>
    <w:rsid w:val="00037140"/>
    <w:rsid w:val="000373C0"/>
    <w:rsid w:val="00037E2F"/>
    <w:rsid w:val="0004027A"/>
    <w:rsid w:val="000402EB"/>
    <w:rsid w:val="000406F8"/>
    <w:rsid w:val="0004077B"/>
    <w:rsid w:val="00040B7E"/>
    <w:rsid w:val="00040BC1"/>
    <w:rsid w:val="00040D38"/>
    <w:rsid w:val="00040D4A"/>
    <w:rsid w:val="00042030"/>
    <w:rsid w:val="000420E6"/>
    <w:rsid w:val="000421E0"/>
    <w:rsid w:val="000423E8"/>
    <w:rsid w:val="00042914"/>
    <w:rsid w:val="000437D3"/>
    <w:rsid w:val="00043F5E"/>
    <w:rsid w:val="00044034"/>
    <w:rsid w:val="000440C3"/>
    <w:rsid w:val="00044304"/>
    <w:rsid w:val="0004430B"/>
    <w:rsid w:val="000449F2"/>
    <w:rsid w:val="00044E7B"/>
    <w:rsid w:val="0004510E"/>
    <w:rsid w:val="00045C4F"/>
    <w:rsid w:val="00046799"/>
    <w:rsid w:val="00046AA4"/>
    <w:rsid w:val="0004715B"/>
    <w:rsid w:val="0004729D"/>
    <w:rsid w:val="000477A5"/>
    <w:rsid w:val="0004790C"/>
    <w:rsid w:val="000479F6"/>
    <w:rsid w:val="00047FAE"/>
    <w:rsid w:val="0005066D"/>
    <w:rsid w:val="00051568"/>
    <w:rsid w:val="000518F9"/>
    <w:rsid w:val="00051FC1"/>
    <w:rsid w:val="00052210"/>
    <w:rsid w:val="00052A43"/>
    <w:rsid w:val="00052C3D"/>
    <w:rsid w:val="00052E4A"/>
    <w:rsid w:val="0005343C"/>
    <w:rsid w:val="00053645"/>
    <w:rsid w:val="00053A62"/>
    <w:rsid w:val="00053C08"/>
    <w:rsid w:val="00054439"/>
    <w:rsid w:val="0005454E"/>
    <w:rsid w:val="0005471F"/>
    <w:rsid w:val="00055CD5"/>
    <w:rsid w:val="00056193"/>
    <w:rsid w:val="0005624A"/>
    <w:rsid w:val="000567A0"/>
    <w:rsid w:val="0005690A"/>
    <w:rsid w:val="0005698C"/>
    <w:rsid w:val="0005699A"/>
    <w:rsid w:val="000569E2"/>
    <w:rsid w:val="00056DF7"/>
    <w:rsid w:val="00057480"/>
    <w:rsid w:val="0005BCEC"/>
    <w:rsid w:val="0006004E"/>
    <w:rsid w:val="000600D8"/>
    <w:rsid w:val="00060BA0"/>
    <w:rsid w:val="00060DAE"/>
    <w:rsid w:val="00060EDA"/>
    <w:rsid w:val="00061127"/>
    <w:rsid w:val="0006128A"/>
    <w:rsid w:val="00061379"/>
    <w:rsid w:val="000616D7"/>
    <w:rsid w:val="000619AD"/>
    <w:rsid w:val="00062158"/>
    <w:rsid w:val="00062A95"/>
    <w:rsid w:val="000637C5"/>
    <w:rsid w:val="00064035"/>
    <w:rsid w:val="0006426A"/>
    <w:rsid w:val="0006437F"/>
    <w:rsid w:val="00064F7F"/>
    <w:rsid w:val="0006524F"/>
    <w:rsid w:val="00065909"/>
    <w:rsid w:val="00065AE0"/>
    <w:rsid w:val="00066B74"/>
    <w:rsid w:val="00067114"/>
    <w:rsid w:val="00067F83"/>
    <w:rsid w:val="00067F86"/>
    <w:rsid w:val="00070027"/>
    <w:rsid w:val="0007068F"/>
    <w:rsid w:val="000709E2"/>
    <w:rsid w:val="00070A75"/>
    <w:rsid w:val="00071C29"/>
    <w:rsid w:val="00071F93"/>
    <w:rsid w:val="0007255C"/>
    <w:rsid w:val="00073096"/>
    <w:rsid w:val="00073915"/>
    <w:rsid w:val="00073B44"/>
    <w:rsid w:val="00073BE2"/>
    <w:rsid w:val="00074A47"/>
    <w:rsid w:val="00074BE6"/>
    <w:rsid w:val="00074F05"/>
    <w:rsid w:val="00075D8E"/>
    <w:rsid w:val="00075D90"/>
    <w:rsid w:val="00075DDC"/>
    <w:rsid w:val="00075FFC"/>
    <w:rsid w:val="000761C8"/>
    <w:rsid w:val="00076213"/>
    <w:rsid w:val="000762F3"/>
    <w:rsid w:val="00076873"/>
    <w:rsid w:val="000769E6"/>
    <w:rsid w:val="00076EDB"/>
    <w:rsid w:val="00077417"/>
    <w:rsid w:val="000778D4"/>
    <w:rsid w:val="000779B8"/>
    <w:rsid w:val="00077A8F"/>
    <w:rsid w:val="00080247"/>
    <w:rsid w:val="000806BA"/>
    <w:rsid w:val="000811FD"/>
    <w:rsid w:val="00081219"/>
    <w:rsid w:val="00081389"/>
    <w:rsid w:val="00081ECD"/>
    <w:rsid w:val="0008208D"/>
    <w:rsid w:val="00082A90"/>
    <w:rsid w:val="00082C8D"/>
    <w:rsid w:val="00082D0F"/>
    <w:rsid w:val="00083012"/>
    <w:rsid w:val="00083646"/>
    <w:rsid w:val="0008395A"/>
    <w:rsid w:val="00084298"/>
    <w:rsid w:val="00084401"/>
    <w:rsid w:val="00084886"/>
    <w:rsid w:val="000848BB"/>
    <w:rsid w:val="00084954"/>
    <w:rsid w:val="000849DC"/>
    <w:rsid w:val="00084C6B"/>
    <w:rsid w:val="000853FA"/>
    <w:rsid w:val="00085B9F"/>
    <w:rsid w:val="00085E5B"/>
    <w:rsid w:val="000865D1"/>
    <w:rsid w:val="00086B69"/>
    <w:rsid w:val="00087816"/>
    <w:rsid w:val="0009020B"/>
    <w:rsid w:val="0009033B"/>
    <w:rsid w:val="0009088D"/>
    <w:rsid w:val="0009169C"/>
    <w:rsid w:val="000917B9"/>
    <w:rsid w:val="00091B47"/>
    <w:rsid w:val="00091B9D"/>
    <w:rsid w:val="00091E07"/>
    <w:rsid w:val="0009245B"/>
    <w:rsid w:val="00092579"/>
    <w:rsid w:val="000929C3"/>
    <w:rsid w:val="000929C9"/>
    <w:rsid w:val="0009360B"/>
    <w:rsid w:val="00093A32"/>
    <w:rsid w:val="00093AEB"/>
    <w:rsid w:val="00093B38"/>
    <w:rsid w:val="00093C34"/>
    <w:rsid w:val="00093DD2"/>
    <w:rsid w:val="00095A50"/>
    <w:rsid w:val="00095BD3"/>
    <w:rsid w:val="00096101"/>
    <w:rsid w:val="0009734A"/>
    <w:rsid w:val="000974D5"/>
    <w:rsid w:val="00097567"/>
    <w:rsid w:val="000A07F8"/>
    <w:rsid w:val="000A0A15"/>
    <w:rsid w:val="000A0DF1"/>
    <w:rsid w:val="000A0ECB"/>
    <w:rsid w:val="000A1AE4"/>
    <w:rsid w:val="000A1FE1"/>
    <w:rsid w:val="000A2984"/>
    <w:rsid w:val="000A3063"/>
    <w:rsid w:val="000A31F0"/>
    <w:rsid w:val="000A36BE"/>
    <w:rsid w:val="000A3771"/>
    <w:rsid w:val="000A3973"/>
    <w:rsid w:val="000A49E5"/>
    <w:rsid w:val="000A586C"/>
    <w:rsid w:val="000A59C5"/>
    <w:rsid w:val="000A5D03"/>
    <w:rsid w:val="000A66D5"/>
    <w:rsid w:val="000A6858"/>
    <w:rsid w:val="000A6B47"/>
    <w:rsid w:val="000A6BB2"/>
    <w:rsid w:val="000A6BED"/>
    <w:rsid w:val="000A6EFF"/>
    <w:rsid w:val="000A7507"/>
    <w:rsid w:val="000A7699"/>
    <w:rsid w:val="000A775F"/>
    <w:rsid w:val="000A7CE8"/>
    <w:rsid w:val="000B0126"/>
    <w:rsid w:val="000B054A"/>
    <w:rsid w:val="000B0703"/>
    <w:rsid w:val="000B0C16"/>
    <w:rsid w:val="000B0CA4"/>
    <w:rsid w:val="000B16CD"/>
    <w:rsid w:val="000B1AF5"/>
    <w:rsid w:val="000B1BB7"/>
    <w:rsid w:val="000B23DD"/>
    <w:rsid w:val="000B2FC8"/>
    <w:rsid w:val="000B3C66"/>
    <w:rsid w:val="000B47EB"/>
    <w:rsid w:val="000B4D6E"/>
    <w:rsid w:val="000B4E19"/>
    <w:rsid w:val="000B5118"/>
    <w:rsid w:val="000B54FD"/>
    <w:rsid w:val="000B5792"/>
    <w:rsid w:val="000B5AE9"/>
    <w:rsid w:val="000B5D72"/>
    <w:rsid w:val="000B5E46"/>
    <w:rsid w:val="000B6280"/>
    <w:rsid w:val="000B6BBD"/>
    <w:rsid w:val="000B714E"/>
    <w:rsid w:val="000B75A1"/>
    <w:rsid w:val="000B780E"/>
    <w:rsid w:val="000B78AF"/>
    <w:rsid w:val="000C002C"/>
    <w:rsid w:val="000C060E"/>
    <w:rsid w:val="000C08D1"/>
    <w:rsid w:val="000C0B68"/>
    <w:rsid w:val="000C0B8A"/>
    <w:rsid w:val="000C1265"/>
    <w:rsid w:val="000C1938"/>
    <w:rsid w:val="000C1CF9"/>
    <w:rsid w:val="000C262E"/>
    <w:rsid w:val="000C2984"/>
    <w:rsid w:val="000C2E2F"/>
    <w:rsid w:val="000C34B8"/>
    <w:rsid w:val="000C3A11"/>
    <w:rsid w:val="000C3E59"/>
    <w:rsid w:val="000C43FA"/>
    <w:rsid w:val="000C4608"/>
    <w:rsid w:val="000C4618"/>
    <w:rsid w:val="000C48B7"/>
    <w:rsid w:val="000C4FB3"/>
    <w:rsid w:val="000C5980"/>
    <w:rsid w:val="000C5E7C"/>
    <w:rsid w:val="000C5EF5"/>
    <w:rsid w:val="000C642E"/>
    <w:rsid w:val="000C6ABB"/>
    <w:rsid w:val="000C6E01"/>
    <w:rsid w:val="000C71C4"/>
    <w:rsid w:val="000C7242"/>
    <w:rsid w:val="000C781C"/>
    <w:rsid w:val="000C7C03"/>
    <w:rsid w:val="000D0D64"/>
    <w:rsid w:val="000D0E83"/>
    <w:rsid w:val="000D102F"/>
    <w:rsid w:val="000D141F"/>
    <w:rsid w:val="000D144A"/>
    <w:rsid w:val="000D17FD"/>
    <w:rsid w:val="000D1939"/>
    <w:rsid w:val="000D1FF6"/>
    <w:rsid w:val="000D214D"/>
    <w:rsid w:val="000D25D7"/>
    <w:rsid w:val="000D266E"/>
    <w:rsid w:val="000D3392"/>
    <w:rsid w:val="000D3493"/>
    <w:rsid w:val="000D3537"/>
    <w:rsid w:val="000D553C"/>
    <w:rsid w:val="000D58E4"/>
    <w:rsid w:val="000D5948"/>
    <w:rsid w:val="000D59D8"/>
    <w:rsid w:val="000D5DDB"/>
    <w:rsid w:val="000D6025"/>
    <w:rsid w:val="000D6620"/>
    <w:rsid w:val="000D6ACE"/>
    <w:rsid w:val="000D6DD0"/>
    <w:rsid w:val="000D6F71"/>
    <w:rsid w:val="000D7081"/>
    <w:rsid w:val="000D7C97"/>
    <w:rsid w:val="000D7CB5"/>
    <w:rsid w:val="000E06A5"/>
    <w:rsid w:val="000E06E1"/>
    <w:rsid w:val="000E0C60"/>
    <w:rsid w:val="000E200D"/>
    <w:rsid w:val="000E261D"/>
    <w:rsid w:val="000E2E98"/>
    <w:rsid w:val="000E3A8B"/>
    <w:rsid w:val="000E3BD4"/>
    <w:rsid w:val="000E40E1"/>
    <w:rsid w:val="000E41AC"/>
    <w:rsid w:val="000E5148"/>
    <w:rsid w:val="000E5777"/>
    <w:rsid w:val="000E59DB"/>
    <w:rsid w:val="000E5AC6"/>
    <w:rsid w:val="000E62C7"/>
    <w:rsid w:val="000E6736"/>
    <w:rsid w:val="000E6A06"/>
    <w:rsid w:val="000E6DF6"/>
    <w:rsid w:val="000E70E9"/>
    <w:rsid w:val="000E73C2"/>
    <w:rsid w:val="000E7B79"/>
    <w:rsid w:val="000E7F7E"/>
    <w:rsid w:val="000F05AB"/>
    <w:rsid w:val="000F05AD"/>
    <w:rsid w:val="000F08ED"/>
    <w:rsid w:val="000F0901"/>
    <w:rsid w:val="000F0D45"/>
    <w:rsid w:val="000F0F9D"/>
    <w:rsid w:val="000F18F0"/>
    <w:rsid w:val="000F1965"/>
    <w:rsid w:val="000F2098"/>
    <w:rsid w:val="000F3227"/>
    <w:rsid w:val="000F3411"/>
    <w:rsid w:val="000F3F5A"/>
    <w:rsid w:val="000F40E6"/>
    <w:rsid w:val="000F4CD3"/>
    <w:rsid w:val="000F4DF2"/>
    <w:rsid w:val="000F52D0"/>
    <w:rsid w:val="000F5521"/>
    <w:rsid w:val="000F5586"/>
    <w:rsid w:val="000F5864"/>
    <w:rsid w:val="000F5A4D"/>
    <w:rsid w:val="000F5A72"/>
    <w:rsid w:val="000F6231"/>
    <w:rsid w:val="000F69BC"/>
    <w:rsid w:val="000F7B84"/>
    <w:rsid w:val="00100188"/>
    <w:rsid w:val="00100321"/>
    <w:rsid w:val="001006F0"/>
    <w:rsid w:val="00100D94"/>
    <w:rsid w:val="00101871"/>
    <w:rsid w:val="00101D68"/>
    <w:rsid w:val="00102429"/>
    <w:rsid w:val="001024C0"/>
    <w:rsid w:val="00102629"/>
    <w:rsid w:val="00102F8E"/>
    <w:rsid w:val="001030A6"/>
    <w:rsid w:val="00103576"/>
    <w:rsid w:val="00103FCD"/>
    <w:rsid w:val="0010431D"/>
    <w:rsid w:val="0010482D"/>
    <w:rsid w:val="00104864"/>
    <w:rsid w:val="0010493C"/>
    <w:rsid w:val="00104DF8"/>
    <w:rsid w:val="00104F46"/>
    <w:rsid w:val="00105019"/>
    <w:rsid w:val="00105C86"/>
    <w:rsid w:val="00105DDD"/>
    <w:rsid w:val="0010662B"/>
    <w:rsid w:val="001068BD"/>
    <w:rsid w:val="00106A90"/>
    <w:rsid w:val="00107524"/>
    <w:rsid w:val="00107541"/>
    <w:rsid w:val="00107597"/>
    <w:rsid w:val="00107DB3"/>
    <w:rsid w:val="001100E4"/>
    <w:rsid w:val="00110157"/>
    <w:rsid w:val="00110394"/>
    <w:rsid w:val="00110B45"/>
    <w:rsid w:val="00110E23"/>
    <w:rsid w:val="001111B4"/>
    <w:rsid w:val="001116DF"/>
    <w:rsid w:val="0011208B"/>
    <w:rsid w:val="001124F6"/>
    <w:rsid w:val="00112ED4"/>
    <w:rsid w:val="00113243"/>
    <w:rsid w:val="001138F2"/>
    <w:rsid w:val="00113EA6"/>
    <w:rsid w:val="00114370"/>
    <w:rsid w:val="0011447C"/>
    <w:rsid w:val="00114F5F"/>
    <w:rsid w:val="00114F7E"/>
    <w:rsid w:val="00114FC8"/>
    <w:rsid w:val="00115B81"/>
    <w:rsid w:val="0011600D"/>
    <w:rsid w:val="00116325"/>
    <w:rsid w:val="001163CA"/>
    <w:rsid w:val="00116C7B"/>
    <w:rsid w:val="00116F89"/>
    <w:rsid w:val="00117009"/>
    <w:rsid w:val="00117512"/>
    <w:rsid w:val="00117999"/>
    <w:rsid w:val="00117E99"/>
    <w:rsid w:val="00117FFB"/>
    <w:rsid w:val="00120006"/>
    <w:rsid w:val="0012105E"/>
    <w:rsid w:val="0012154B"/>
    <w:rsid w:val="0012179B"/>
    <w:rsid w:val="00122456"/>
    <w:rsid w:val="0012258F"/>
    <w:rsid w:val="001226E7"/>
    <w:rsid w:val="001227A1"/>
    <w:rsid w:val="0012299B"/>
    <w:rsid w:val="00122FDA"/>
    <w:rsid w:val="00123049"/>
    <w:rsid w:val="00123C68"/>
    <w:rsid w:val="00124700"/>
    <w:rsid w:val="0012493B"/>
    <w:rsid w:val="00124E11"/>
    <w:rsid w:val="00124F04"/>
    <w:rsid w:val="001256B8"/>
    <w:rsid w:val="00125C9C"/>
    <w:rsid w:val="0012620C"/>
    <w:rsid w:val="00126805"/>
    <w:rsid w:val="00126A6C"/>
    <w:rsid w:val="00126B20"/>
    <w:rsid w:val="00126CDA"/>
    <w:rsid w:val="00126D46"/>
    <w:rsid w:val="00126E6E"/>
    <w:rsid w:val="00126F1B"/>
    <w:rsid w:val="00127007"/>
    <w:rsid w:val="00127A93"/>
    <w:rsid w:val="00130C64"/>
    <w:rsid w:val="00130E8B"/>
    <w:rsid w:val="00131138"/>
    <w:rsid w:val="0013192D"/>
    <w:rsid w:val="00132344"/>
    <w:rsid w:val="00132685"/>
    <w:rsid w:val="00132980"/>
    <w:rsid w:val="00132D3C"/>
    <w:rsid w:val="00132EAC"/>
    <w:rsid w:val="00132FAD"/>
    <w:rsid w:val="00133049"/>
    <w:rsid w:val="001337FD"/>
    <w:rsid w:val="00133A5F"/>
    <w:rsid w:val="00133C74"/>
    <w:rsid w:val="001345BF"/>
    <w:rsid w:val="00134736"/>
    <w:rsid w:val="00135E72"/>
    <w:rsid w:val="00136CFA"/>
    <w:rsid w:val="00136DD0"/>
    <w:rsid w:val="00136DE3"/>
    <w:rsid w:val="00136E50"/>
    <w:rsid w:val="00136FC7"/>
    <w:rsid w:val="001371D4"/>
    <w:rsid w:val="0013740B"/>
    <w:rsid w:val="001374E8"/>
    <w:rsid w:val="00137653"/>
    <w:rsid w:val="00137F3F"/>
    <w:rsid w:val="00137FC8"/>
    <w:rsid w:val="0013EABC"/>
    <w:rsid w:val="00140042"/>
    <w:rsid w:val="001400F0"/>
    <w:rsid w:val="001403BF"/>
    <w:rsid w:val="00140711"/>
    <w:rsid w:val="001409E6"/>
    <w:rsid w:val="00141B75"/>
    <w:rsid w:val="00141EF5"/>
    <w:rsid w:val="0014265E"/>
    <w:rsid w:val="001426F2"/>
    <w:rsid w:val="00142A43"/>
    <w:rsid w:val="00142F3C"/>
    <w:rsid w:val="00143B27"/>
    <w:rsid w:val="0014427A"/>
    <w:rsid w:val="00144921"/>
    <w:rsid w:val="00144C7F"/>
    <w:rsid w:val="00144EF2"/>
    <w:rsid w:val="00145596"/>
    <w:rsid w:val="00145A3F"/>
    <w:rsid w:val="00145C2E"/>
    <w:rsid w:val="00145E05"/>
    <w:rsid w:val="001462F1"/>
    <w:rsid w:val="0014712E"/>
    <w:rsid w:val="00147376"/>
    <w:rsid w:val="001477F7"/>
    <w:rsid w:val="00147A13"/>
    <w:rsid w:val="00147DFE"/>
    <w:rsid w:val="001500B4"/>
    <w:rsid w:val="00150388"/>
    <w:rsid w:val="00150A53"/>
    <w:rsid w:val="001510CB"/>
    <w:rsid w:val="001513B3"/>
    <w:rsid w:val="00151BB2"/>
    <w:rsid w:val="00151FC1"/>
    <w:rsid w:val="00152195"/>
    <w:rsid w:val="001521B5"/>
    <w:rsid w:val="001526FB"/>
    <w:rsid w:val="00152C04"/>
    <w:rsid w:val="00153A64"/>
    <w:rsid w:val="00153B58"/>
    <w:rsid w:val="001541E5"/>
    <w:rsid w:val="0015439C"/>
    <w:rsid w:val="001543F8"/>
    <w:rsid w:val="00154634"/>
    <w:rsid w:val="00155052"/>
    <w:rsid w:val="00155483"/>
    <w:rsid w:val="0015574F"/>
    <w:rsid w:val="00155FB3"/>
    <w:rsid w:val="00156C0A"/>
    <w:rsid w:val="001574BA"/>
    <w:rsid w:val="00160082"/>
    <w:rsid w:val="001606AA"/>
    <w:rsid w:val="0016095D"/>
    <w:rsid w:val="00160989"/>
    <w:rsid w:val="00160D83"/>
    <w:rsid w:val="0016108F"/>
    <w:rsid w:val="00161E7F"/>
    <w:rsid w:val="00162316"/>
    <w:rsid w:val="001623D4"/>
    <w:rsid w:val="00162A26"/>
    <w:rsid w:val="00162BE7"/>
    <w:rsid w:val="00162CF3"/>
    <w:rsid w:val="001632A0"/>
    <w:rsid w:val="001637AE"/>
    <w:rsid w:val="00163943"/>
    <w:rsid w:val="00164000"/>
    <w:rsid w:val="0016438E"/>
    <w:rsid w:val="00165295"/>
    <w:rsid w:val="001657D2"/>
    <w:rsid w:val="0016592C"/>
    <w:rsid w:val="00165A23"/>
    <w:rsid w:val="00166166"/>
    <w:rsid w:val="00166EB1"/>
    <w:rsid w:val="00166ED9"/>
    <w:rsid w:val="0016717E"/>
    <w:rsid w:val="001679A4"/>
    <w:rsid w:val="00167EBC"/>
    <w:rsid w:val="00167ECB"/>
    <w:rsid w:val="00167FDB"/>
    <w:rsid w:val="001702D1"/>
    <w:rsid w:val="001705F2"/>
    <w:rsid w:val="0017154B"/>
    <w:rsid w:val="00171A95"/>
    <w:rsid w:val="00172478"/>
    <w:rsid w:val="001725F7"/>
    <w:rsid w:val="00173608"/>
    <w:rsid w:val="001739BF"/>
    <w:rsid w:val="00173DEA"/>
    <w:rsid w:val="001744D2"/>
    <w:rsid w:val="001746D3"/>
    <w:rsid w:val="00175BC5"/>
    <w:rsid w:val="00176300"/>
    <w:rsid w:val="00176584"/>
    <w:rsid w:val="0017658A"/>
    <w:rsid w:val="001769CB"/>
    <w:rsid w:val="00177849"/>
    <w:rsid w:val="00177D95"/>
    <w:rsid w:val="0018015D"/>
    <w:rsid w:val="00180585"/>
    <w:rsid w:val="00180A5B"/>
    <w:rsid w:val="00180C32"/>
    <w:rsid w:val="00180F93"/>
    <w:rsid w:val="001815EA"/>
    <w:rsid w:val="0018162E"/>
    <w:rsid w:val="001819BA"/>
    <w:rsid w:val="00182393"/>
    <w:rsid w:val="00182588"/>
    <w:rsid w:val="00182A59"/>
    <w:rsid w:val="00183E69"/>
    <w:rsid w:val="0018442D"/>
    <w:rsid w:val="00184576"/>
    <w:rsid w:val="001853D1"/>
    <w:rsid w:val="001854F4"/>
    <w:rsid w:val="00185814"/>
    <w:rsid w:val="00185E0B"/>
    <w:rsid w:val="00185FD9"/>
    <w:rsid w:val="00186176"/>
    <w:rsid w:val="00186511"/>
    <w:rsid w:val="00186570"/>
    <w:rsid w:val="00186BA1"/>
    <w:rsid w:val="00187256"/>
    <w:rsid w:val="001874DF"/>
    <w:rsid w:val="001876C7"/>
    <w:rsid w:val="00187B3A"/>
    <w:rsid w:val="001901FC"/>
    <w:rsid w:val="001905C1"/>
    <w:rsid w:val="0019105B"/>
    <w:rsid w:val="001913A2"/>
    <w:rsid w:val="00191ADF"/>
    <w:rsid w:val="00191B2F"/>
    <w:rsid w:val="00192E5C"/>
    <w:rsid w:val="001932B2"/>
    <w:rsid w:val="00193D14"/>
    <w:rsid w:val="0019472C"/>
    <w:rsid w:val="00194B77"/>
    <w:rsid w:val="00194DC0"/>
    <w:rsid w:val="00194E1D"/>
    <w:rsid w:val="00194EF8"/>
    <w:rsid w:val="001951F6"/>
    <w:rsid w:val="001953FB"/>
    <w:rsid w:val="0019558F"/>
    <w:rsid w:val="001956CC"/>
    <w:rsid w:val="00195C91"/>
    <w:rsid w:val="001963D2"/>
    <w:rsid w:val="0019658E"/>
    <w:rsid w:val="00196894"/>
    <w:rsid w:val="001969B5"/>
    <w:rsid w:val="00196A36"/>
    <w:rsid w:val="00196DFB"/>
    <w:rsid w:val="0019767B"/>
    <w:rsid w:val="001976D7"/>
    <w:rsid w:val="0019777A"/>
    <w:rsid w:val="001979EA"/>
    <w:rsid w:val="00197DC4"/>
    <w:rsid w:val="001A0833"/>
    <w:rsid w:val="001A08E7"/>
    <w:rsid w:val="001A0D92"/>
    <w:rsid w:val="001A14E8"/>
    <w:rsid w:val="001A21CD"/>
    <w:rsid w:val="001A27F0"/>
    <w:rsid w:val="001A282D"/>
    <w:rsid w:val="001A28EE"/>
    <w:rsid w:val="001A2A58"/>
    <w:rsid w:val="001A2ACF"/>
    <w:rsid w:val="001A3B31"/>
    <w:rsid w:val="001A3BD7"/>
    <w:rsid w:val="001A3D8C"/>
    <w:rsid w:val="001A4091"/>
    <w:rsid w:val="001A413D"/>
    <w:rsid w:val="001A4212"/>
    <w:rsid w:val="001A4C1E"/>
    <w:rsid w:val="001A4C7D"/>
    <w:rsid w:val="001A4F84"/>
    <w:rsid w:val="001A63EA"/>
    <w:rsid w:val="001A66DA"/>
    <w:rsid w:val="001A758B"/>
    <w:rsid w:val="001A7EA6"/>
    <w:rsid w:val="001B00FB"/>
    <w:rsid w:val="001B0157"/>
    <w:rsid w:val="001B05CB"/>
    <w:rsid w:val="001B0792"/>
    <w:rsid w:val="001B1CC0"/>
    <w:rsid w:val="001B242C"/>
    <w:rsid w:val="001B26D0"/>
    <w:rsid w:val="001B2779"/>
    <w:rsid w:val="001B2A10"/>
    <w:rsid w:val="001B2B58"/>
    <w:rsid w:val="001B4686"/>
    <w:rsid w:val="001B473D"/>
    <w:rsid w:val="001B4887"/>
    <w:rsid w:val="001B545D"/>
    <w:rsid w:val="001B54AF"/>
    <w:rsid w:val="001B5B0F"/>
    <w:rsid w:val="001B6199"/>
    <w:rsid w:val="001B61A8"/>
    <w:rsid w:val="001B6416"/>
    <w:rsid w:val="001B6423"/>
    <w:rsid w:val="001B6AAE"/>
    <w:rsid w:val="001B6D13"/>
    <w:rsid w:val="001B6D8B"/>
    <w:rsid w:val="001B7F3A"/>
    <w:rsid w:val="001C0225"/>
    <w:rsid w:val="001C0A07"/>
    <w:rsid w:val="001C11F7"/>
    <w:rsid w:val="001C1425"/>
    <w:rsid w:val="001C19DC"/>
    <w:rsid w:val="001C1C7C"/>
    <w:rsid w:val="001C218A"/>
    <w:rsid w:val="001C2300"/>
    <w:rsid w:val="001C2491"/>
    <w:rsid w:val="001C28DB"/>
    <w:rsid w:val="001C3093"/>
    <w:rsid w:val="001C3596"/>
    <w:rsid w:val="001C3B06"/>
    <w:rsid w:val="001C4933"/>
    <w:rsid w:val="001C4F83"/>
    <w:rsid w:val="001C5414"/>
    <w:rsid w:val="001C580C"/>
    <w:rsid w:val="001C5A76"/>
    <w:rsid w:val="001C6895"/>
    <w:rsid w:val="001C68DD"/>
    <w:rsid w:val="001C692F"/>
    <w:rsid w:val="001C6D65"/>
    <w:rsid w:val="001C6DDA"/>
    <w:rsid w:val="001C72B0"/>
    <w:rsid w:val="001C73C3"/>
    <w:rsid w:val="001C73D9"/>
    <w:rsid w:val="001C79CE"/>
    <w:rsid w:val="001C7DFC"/>
    <w:rsid w:val="001D0799"/>
    <w:rsid w:val="001D08C0"/>
    <w:rsid w:val="001D093F"/>
    <w:rsid w:val="001D0B25"/>
    <w:rsid w:val="001D2382"/>
    <w:rsid w:val="001D2C8D"/>
    <w:rsid w:val="001D2E71"/>
    <w:rsid w:val="001D2E76"/>
    <w:rsid w:val="001D32A8"/>
    <w:rsid w:val="001D3608"/>
    <w:rsid w:val="001D3A4D"/>
    <w:rsid w:val="001D3D36"/>
    <w:rsid w:val="001D462D"/>
    <w:rsid w:val="001D4CCB"/>
    <w:rsid w:val="001D4D00"/>
    <w:rsid w:val="001D4D16"/>
    <w:rsid w:val="001D500F"/>
    <w:rsid w:val="001D556A"/>
    <w:rsid w:val="001D5636"/>
    <w:rsid w:val="001D5D1F"/>
    <w:rsid w:val="001D6069"/>
    <w:rsid w:val="001D6213"/>
    <w:rsid w:val="001D642F"/>
    <w:rsid w:val="001D6828"/>
    <w:rsid w:val="001D6CE2"/>
    <w:rsid w:val="001D777E"/>
    <w:rsid w:val="001D7835"/>
    <w:rsid w:val="001E00E7"/>
    <w:rsid w:val="001E0550"/>
    <w:rsid w:val="001E05C2"/>
    <w:rsid w:val="001E084E"/>
    <w:rsid w:val="001E08C5"/>
    <w:rsid w:val="001E09C8"/>
    <w:rsid w:val="001E12B6"/>
    <w:rsid w:val="001E1E9C"/>
    <w:rsid w:val="001E2314"/>
    <w:rsid w:val="001E2419"/>
    <w:rsid w:val="001E255C"/>
    <w:rsid w:val="001E26EC"/>
    <w:rsid w:val="001E2AD6"/>
    <w:rsid w:val="001E2BA5"/>
    <w:rsid w:val="001E2C12"/>
    <w:rsid w:val="001E3A27"/>
    <w:rsid w:val="001E3B09"/>
    <w:rsid w:val="001E41CC"/>
    <w:rsid w:val="001E45C8"/>
    <w:rsid w:val="001E5181"/>
    <w:rsid w:val="001E5754"/>
    <w:rsid w:val="001E5A2C"/>
    <w:rsid w:val="001E5D5C"/>
    <w:rsid w:val="001E6570"/>
    <w:rsid w:val="001E6682"/>
    <w:rsid w:val="001E7024"/>
    <w:rsid w:val="001E7664"/>
    <w:rsid w:val="001E77F6"/>
    <w:rsid w:val="001E7A14"/>
    <w:rsid w:val="001F0329"/>
    <w:rsid w:val="001F077A"/>
    <w:rsid w:val="001F0D41"/>
    <w:rsid w:val="001F14B8"/>
    <w:rsid w:val="001F16C4"/>
    <w:rsid w:val="001F1797"/>
    <w:rsid w:val="001F1997"/>
    <w:rsid w:val="001F1B8A"/>
    <w:rsid w:val="001F2127"/>
    <w:rsid w:val="001F2297"/>
    <w:rsid w:val="001F2A38"/>
    <w:rsid w:val="001F2D2E"/>
    <w:rsid w:val="001F2DBF"/>
    <w:rsid w:val="001F2F7F"/>
    <w:rsid w:val="001F3015"/>
    <w:rsid w:val="001F363D"/>
    <w:rsid w:val="001F3CF3"/>
    <w:rsid w:val="001F4035"/>
    <w:rsid w:val="001F456B"/>
    <w:rsid w:val="001F49A5"/>
    <w:rsid w:val="001F4A3E"/>
    <w:rsid w:val="001F4B50"/>
    <w:rsid w:val="001F4C30"/>
    <w:rsid w:val="001F4DB7"/>
    <w:rsid w:val="001F4F56"/>
    <w:rsid w:val="001F506A"/>
    <w:rsid w:val="001F51C1"/>
    <w:rsid w:val="001F5360"/>
    <w:rsid w:val="001F5448"/>
    <w:rsid w:val="001F6485"/>
    <w:rsid w:val="001F6940"/>
    <w:rsid w:val="001F7296"/>
    <w:rsid w:val="001F7529"/>
    <w:rsid w:val="00200830"/>
    <w:rsid w:val="00200B4F"/>
    <w:rsid w:val="002020A8"/>
    <w:rsid w:val="002022E9"/>
    <w:rsid w:val="0020293F"/>
    <w:rsid w:val="00202CB8"/>
    <w:rsid w:val="00202EF6"/>
    <w:rsid w:val="00202F8E"/>
    <w:rsid w:val="00203C0E"/>
    <w:rsid w:val="00203C14"/>
    <w:rsid w:val="0020423E"/>
    <w:rsid w:val="002043A6"/>
    <w:rsid w:val="00204B93"/>
    <w:rsid w:val="00204C25"/>
    <w:rsid w:val="00204D19"/>
    <w:rsid w:val="002052A1"/>
    <w:rsid w:val="002052C4"/>
    <w:rsid w:val="0020593C"/>
    <w:rsid w:val="00205ECF"/>
    <w:rsid w:val="002062D0"/>
    <w:rsid w:val="002063ED"/>
    <w:rsid w:val="002065A1"/>
    <w:rsid w:val="0020679E"/>
    <w:rsid w:val="002068A6"/>
    <w:rsid w:val="002073F9"/>
    <w:rsid w:val="0021005E"/>
    <w:rsid w:val="00210691"/>
    <w:rsid w:val="002106B7"/>
    <w:rsid w:val="002108FA"/>
    <w:rsid w:val="002112ED"/>
    <w:rsid w:val="00211C6D"/>
    <w:rsid w:val="00211EA6"/>
    <w:rsid w:val="002136EE"/>
    <w:rsid w:val="002139D4"/>
    <w:rsid w:val="00213A18"/>
    <w:rsid w:val="00213D14"/>
    <w:rsid w:val="00213EF5"/>
    <w:rsid w:val="00213F27"/>
    <w:rsid w:val="002144EA"/>
    <w:rsid w:val="0021450D"/>
    <w:rsid w:val="00214BA6"/>
    <w:rsid w:val="00214C29"/>
    <w:rsid w:val="00214D09"/>
    <w:rsid w:val="00214F63"/>
    <w:rsid w:val="002155C4"/>
    <w:rsid w:val="00215772"/>
    <w:rsid w:val="0021584C"/>
    <w:rsid w:val="00216420"/>
    <w:rsid w:val="00216446"/>
    <w:rsid w:val="0021695A"/>
    <w:rsid w:val="002171C5"/>
    <w:rsid w:val="0021738B"/>
    <w:rsid w:val="00217436"/>
    <w:rsid w:val="002176DB"/>
    <w:rsid w:val="00220A78"/>
    <w:rsid w:val="00220FC4"/>
    <w:rsid w:val="00220FFB"/>
    <w:rsid w:val="0022118F"/>
    <w:rsid w:val="002218F9"/>
    <w:rsid w:val="00221990"/>
    <w:rsid w:val="0022254F"/>
    <w:rsid w:val="00222BB6"/>
    <w:rsid w:val="00222C11"/>
    <w:rsid w:val="0022334B"/>
    <w:rsid w:val="00223675"/>
    <w:rsid w:val="00223C60"/>
    <w:rsid w:val="00223DEE"/>
    <w:rsid w:val="00224466"/>
    <w:rsid w:val="002259B5"/>
    <w:rsid w:val="00225F6F"/>
    <w:rsid w:val="00225F95"/>
    <w:rsid w:val="00226192"/>
    <w:rsid w:val="002265FE"/>
    <w:rsid w:val="00227116"/>
    <w:rsid w:val="00227355"/>
    <w:rsid w:val="00227C52"/>
    <w:rsid w:val="00227ED7"/>
    <w:rsid w:val="0023037B"/>
    <w:rsid w:val="00230956"/>
    <w:rsid w:val="00230998"/>
    <w:rsid w:val="00230B39"/>
    <w:rsid w:val="00230D61"/>
    <w:rsid w:val="00230E88"/>
    <w:rsid w:val="00231944"/>
    <w:rsid w:val="00231CF9"/>
    <w:rsid w:val="00231EA6"/>
    <w:rsid w:val="00232593"/>
    <w:rsid w:val="00233255"/>
    <w:rsid w:val="0023357F"/>
    <w:rsid w:val="002336B9"/>
    <w:rsid w:val="00233A66"/>
    <w:rsid w:val="00234A5C"/>
    <w:rsid w:val="00234CB1"/>
    <w:rsid w:val="002356B6"/>
    <w:rsid w:val="002358FA"/>
    <w:rsid w:val="0023598D"/>
    <w:rsid w:val="00236330"/>
    <w:rsid w:val="002363D1"/>
    <w:rsid w:val="0023681C"/>
    <w:rsid w:val="00237120"/>
    <w:rsid w:val="0023721A"/>
    <w:rsid w:val="00237628"/>
    <w:rsid w:val="0023791D"/>
    <w:rsid w:val="00237DD3"/>
    <w:rsid w:val="00240332"/>
    <w:rsid w:val="002407C8"/>
    <w:rsid w:val="00240EB1"/>
    <w:rsid w:val="0024122B"/>
    <w:rsid w:val="002412A2"/>
    <w:rsid w:val="002413B3"/>
    <w:rsid w:val="0024169A"/>
    <w:rsid w:val="00241823"/>
    <w:rsid w:val="00242460"/>
    <w:rsid w:val="002425CF"/>
    <w:rsid w:val="00242C79"/>
    <w:rsid w:val="00242E20"/>
    <w:rsid w:val="0024302F"/>
    <w:rsid w:val="0024443F"/>
    <w:rsid w:val="0024472D"/>
    <w:rsid w:val="0024492A"/>
    <w:rsid w:val="00244BBF"/>
    <w:rsid w:val="002454B9"/>
    <w:rsid w:val="0024557E"/>
    <w:rsid w:val="00245998"/>
    <w:rsid w:val="00245A4C"/>
    <w:rsid w:val="00245A94"/>
    <w:rsid w:val="00245ADF"/>
    <w:rsid w:val="002464A0"/>
    <w:rsid w:val="00246AF2"/>
    <w:rsid w:val="002470CA"/>
    <w:rsid w:val="00247364"/>
    <w:rsid w:val="002475E1"/>
    <w:rsid w:val="00247892"/>
    <w:rsid w:val="00247D8A"/>
    <w:rsid w:val="00250766"/>
    <w:rsid w:val="00250FE3"/>
    <w:rsid w:val="00251662"/>
    <w:rsid w:val="0025192A"/>
    <w:rsid w:val="00251C9E"/>
    <w:rsid w:val="00251D03"/>
    <w:rsid w:val="00252317"/>
    <w:rsid w:val="00252695"/>
    <w:rsid w:val="00253487"/>
    <w:rsid w:val="00253991"/>
    <w:rsid w:val="00253B12"/>
    <w:rsid w:val="0025435A"/>
    <w:rsid w:val="00254508"/>
    <w:rsid w:val="00254975"/>
    <w:rsid w:val="00254E38"/>
    <w:rsid w:val="00255542"/>
    <w:rsid w:val="00255C31"/>
    <w:rsid w:val="00255C8B"/>
    <w:rsid w:val="00255C9D"/>
    <w:rsid w:val="00255F4C"/>
    <w:rsid w:val="002560C5"/>
    <w:rsid w:val="0025691B"/>
    <w:rsid w:val="00256928"/>
    <w:rsid w:val="00256F0A"/>
    <w:rsid w:val="0025705C"/>
    <w:rsid w:val="002574A7"/>
    <w:rsid w:val="00257781"/>
    <w:rsid w:val="00257A72"/>
    <w:rsid w:val="00260083"/>
    <w:rsid w:val="002600B5"/>
    <w:rsid w:val="0026084D"/>
    <w:rsid w:val="002608AC"/>
    <w:rsid w:val="00260AED"/>
    <w:rsid w:val="00260C13"/>
    <w:rsid w:val="00261179"/>
    <w:rsid w:val="002611BE"/>
    <w:rsid w:val="00261C75"/>
    <w:rsid w:val="002620DA"/>
    <w:rsid w:val="002629C9"/>
    <w:rsid w:val="00262C51"/>
    <w:rsid w:val="00262CB5"/>
    <w:rsid w:val="00262D3D"/>
    <w:rsid w:val="0026367D"/>
    <w:rsid w:val="002637B0"/>
    <w:rsid w:val="00263A26"/>
    <w:rsid w:val="002640AA"/>
    <w:rsid w:val="002646B2"/>
    <w:rsid w:val="00264979"/>
    <w:rsid w:val="0026503B"/>
    <w:rsid w:val="002652B1"/>
    <w:rsid w:val="00265D05"/>
    <w:rsid w:val="00265F37"/>
    <w:rsid w:val="002663E7"/>
    <w:rsid w:val="002664F3"/>
    <w:rsid w:val="00266521"/>
    <w:rsid w:val="0026662B"/>
    <w:rsid w:val="0026703B"/>
    <w:rsid w:val="00267412"/>
    <w:rsid w:val="002679DB"/>
    <w:rsid w:val="002702C3"/>
    <w:rsid w:val="002705C1"/>
    <w:rsid w:val="00270B41"/>
    <w:rsid w:val="00270CF6"/>
    <w:rsid w:val="00270FF2"/>
    <w:rsid w:val="00270FF4"/>
    <w:rsid w:val="0027101D"/>
    <w:rsid w:val="00271597"/>
    <w:rsid w:val="0027242B"/>
    <w:rsid w:val="002726A3"/>
    <w:rsid w:val="00273196"/>
    <w:rsid w:val="00273683"/>
    <w:rsid w:val="00273895"/>
    <w:rsid w:val="00273922"/>
    <w:rsid w:val="00273B3F"/>
    <w:rsid w:val="00273B9C"/>
    <w:rsid w:val="0027455C"/>
    <w:rsid w:val="0027477F"/>
    <w:rsid w:val="00274BCD"/>
    <w:rsid w:val="002750C9"/>
    <w:rsid w:val="00275A46"/>
    <w:rsid w:val="0027641E"/>
    <w:rsid w:val="00277235"/>
    <w:rsid w:val="00277596"/>
    <w:rsid w:val="0027783D"/>
    <w:rsid w:val="00277F5E"/>
    <w:rsid w:val="002803E9"/>
    <w:rsid w:val="002804F1"/>
    <w:rsid w:val="00280A77"/>
    <w:rsid w:val="00280CFE"/>
    <w:rsid w:val="00282046"/>
    <w:rsid w:val="00282229"/>
    <w:rsid w:val="002826DF"/>
    <w:rsid w:val="00282990"/>
    <w:rsid w:val="00282A94"/>
    <w:rsid w:val="00282B0F"/>
    <w:rsid w:val="00283218"/>
    <w:rsid w:val="002837F2"/>
    <w:rsid w:val="00283CB8"/>
    <w:rsid w:val="002842E9"/>
    <w:rsid w:val="002854CA"/>
    <w:rsid w:val="002858A0"/>
    <w:rsid w:val="0028616E"/>
    <w:rsid w:val="002869AA"/>
    <w:rsid w:val="00286C20"/>
    <w:rsid w:val="00286DA2"/>
    <w:rsid w:val="00286E3B"/>
    <w:rsid w:val="002870CD"/>
    <w:rsid w:val="00287583"/>
    <w:rsid w:val="00287B04"/>
    <w:rsid w:val="00290BE0"/>
    <w:rsid w:val="00291A7B"/>
    <w:rsid w:val="00291D52"/>
    <w:rsid w:val="002923A3"/>
    <w:rsid w:val="00292772"/>
    <w:rsid w:val="00293151"/>
    <w:rsid w:val="0029323F"/>
    <w:rsid w:val="002935F3"/>
    <w:rsid w:val="002936D0"/>
    <w:rsid w:val="00293AB2"/>
    <w:rsid w:val="002941E1"/>
    <w:rsid w:val="00294300"/>
    <w:rsid w:val="00294589"/>
    <w:rsid w:val="00294B5B"/>
    <w:rsid w:val="0029512D"/>
    <w:rsid w:val="002957CB"/>
    <w:rsid w:val="00295D07"/>
    <w:rsid w:val="00295D74"/>
    <w:rsid w:val="002976B5"/>
    <w:rsid w:val="00297A1C"/>
    <w:rsid w:val="00297B35"/>
    <w:rsid w:val="00297BC1"/>
    <w:rsid w:val="00297D9A"/>
    <w:rsid w:val="002A0223"/>
    <w:rsid w:val="002A071A"/>
    <w:rsid w:val="002A0C76"/>
    <w:rsid w:val="002A0CCE"/>
    <w:rsid w:val="002A0E58"/>
    <w:rsid w:val="002A1135"/>
    <w:rsid w:val="002A15A5"/>
    <w:rsid w:val="002A1E22"/>
    <w:rsid w:val="002A23FD"/>
    <w:rsid w:val="002A2B48"/>
    <w:rsid w:val="002A2F91"/>
    <w:rsid w:val="002A4213"/>
    <w:rsid w:val="002A42DC"/>
    <w:rsid w:val="002A4686"/>
    <w:rsid w:val="002A4B1D"/>
    <w:rsid w:val="002A4D89"/>
    <w:rsid w:val="002A59C8"/>
    <w:rsid w:val="002A5FF9"/>
    <w:rsid w:val="002A62C6"/>
    <w:rsid w:val="002A643C"/>
    <w:rsid w:val="002A7D1F"/>
    <w:rsid w:val="002A7FBA"/>
    <w:rsid w:val="002B0201"/>
    <w:rsid w:val="002B0D9E"/>
    <w:rsid w:val="002B103D"/>
    <w:rsid w:val="002B18A3"/>
    <w:rsid w:val="002B1C84"/>
    <w:rsid w:val="002B1E13"/>
    <w:rsid w:val="002B20FE"/>
    <w:rsid w:val="002B217C"/>
    <w:rsid w:val="002B2243"/>
    <w:rsid w:val="002B232C"/>
    <w:rsid w:val="002B2739"/>
    <w:rsid w:val="002B2809"/>
    <w:rsid w:val="002B2CBD"/>
    <w:rsid w:val="002B406B"/>
    <w:rsid w:val="002B4344"/>
    <w:rsid w:val="002B4EDA"/>
    <w:rsid w:val="002B5004"/>
    <w:rsid w:val="002B5127"/>
    <w:rsid w:val="002B5207"/>
    <w:rsid w:val="002B5423"/>
    <w:rsid w:val="002B54BF"/>
    <w:rsid w:val="002B54DE"/>
    <w:rsid w:val="002B57BC"/>
    <w:rsid w:val="002B5C32"/>
    <w:rsid w:val="002B5CF3"/>
    <w:rsid w:val="002B5D73"/>
    <w:rsid w:val="002B5E74"/>
    <w:rsid w:val="002B6617"/>
    <w:rsid w:val="002B6DA5"/>
    <w:rsid w:val="002B7439"/>
    <w:rsid w:val="002B766D"/>
    <w:rsid w:val="002B79D7"/>
    <w:rsid w:val="002B7D26"/>
    <w:rsid w:val="002B7E31"/>
    <w:rsid w:val="002B7E78"/>
    <w:rsid w:val="002B7EC2"/>
    <w:rsid w:val="002B7F3A"/>
    <w:rsid w:val="002B7F9A"/>
    <w:rsid w:val="002C11F8"/>
    <w:rsid w:val="002C1720"/>
    <w:rsid w:val="002C1F7B"/>
    <w:rsid w:val="002C242C"/>
    <w:rsid w:val="002C2790"/>
    <w:rsid w:val="002C2C1C"/>
    <w:rsid w:val="002C3470"/>
    <w:rsid w:val="002C36E6"/>
    <w:rsid w:val="002C3799"/>
    <w:rsid w:val="002C37F5"/>
    <w:rsid w:val="002C3940"/>
    <w:rsid w:val="002C3F8F"/>
    <w:rsid w:val="002C41EF"/>
    <w:rsid w:val="002C49C3"/>
    <w:rsid w:val="002C4A42"/>
    <w:rsid w:val="002C4D36"/>
    <w:rsid w:val="002C4D74"/>
    <w:rsid w:val="002C4FBC"/>
    <w:rsid w:val="002C5078"/>
    <w:rsid w:val="002C531A"/>
    <w:rsid w:val="002C5F90"/>
    <w:rsid w:val="002C5FAE"/>
    <w:rsid w:val="002C60F1"/>
    <w:rsid w:val="002C6558"/>
    <w:rsid w:val="002C6CDB"/>
    <w:rsid w:val="002C7001"/>
    <w:rsid w:val="002C7427"/>
    <w:rsid w:val="002C74AA"/>
    <w:rsid w:val="002C7515"/>
    <w:rsid w:val="002C7A18"/>
    <w:rsid w:val="002C8389"/>
    <w:rsid w:val="002D008E"/>
    <w:rsid w:val="002D0E01"/>
    <w:rsid w:val="002D15E1"/>
    <w:rsid w:val="002D1808"/>
    <w:rsid w:val="002D187D"/>
    <w:rsid w:val="002D1DFE"/>
    <w:rsid w:val="002D2541"/>
    <w:rsid w:val="002D2599"/>
    <w:rsid w:val="002D2F38"/>
    <w:rsid w:val="002D32CC"/>
    <w:rsid w:val="002D34E5"/>
    <w:rsid w:val="002D352E"/>
    <w:rsid w:val="002D3E78"/>
    <w:rsid w:val="002D3FBE"/>
    <w:rsid w:val="002D434C"/>
    <w:rsid w:val="002D4CB6"/>
    <w:rsid w:val="002D4F74"/>
    <w:rsid w:val="002D51B5"/>
    <w:rsid w:val="002D5869"/>
    <w:rsid w:val="002D59C8"/>
    <w:rsid w:val="002D5C66"/>
    <w:rsid w:val="002D5C6E"/>
    <w:rsid w:val="002D63D7"/>
    <w:rsid w:val="002D69CA"/>
    <w:rsid w:val="002D6D7A"/>
    <w:rsid w:val="002D6ED3"/>
    <w:rsid w:val="002D7358"/>
    <w:rsid w:val="002D7401"/>
    <w:rsid w:val="002D74C8"/>
    <w:rsid w:val="002D74E4"/>
    <w:rsid w:val="002D7BB1"/>
    <w:rsid w:val="002E0A53"/>
    <w:rsid w:val="002E10EA"/>
    <w:rsid w:val="002E11D2"/>
    <w:rsid w:val="002E1240"/>
    <w:rsid w:val="002E141D"/>
    <w:rsid w:val="002E184A"/>
    <w:rsid w:val="002E197B"/>
    <w:rsid w:val="002E1F63"/>
    <w:rsid w:val="002E25D4"/>
    <w:rsid w:val="002E2F5A"/>
    <w:rsid w:val="002E391A"/>
    <w:rsid w:val="002E3ACC"/>
    <w:rsid w:val="002E3F3A"/>
    <w:rsid w:val="002E4433"/>
    <w:rsid w:val="002E47EF"/>
    <w:rsid w:val="002E4BD4"/>
    <w:rsid w:val="002E4DD1"/>
    <w:rsid w:val="002E4EF1"/>
    <w:rsid w:val="002E54F2"/>
    <w:rsid w:val="002E55C5"/>
    <w:rsid w:val="002E573C"/>
    <w:rsid w:val="002E5C81"/>
    <w:rsid w:val="002E6708"/>
    <w:rsid w:val="002E7182"/>
    <w:rsid w:val="002E7B9B"/>
    <w:rsid w:val="002E7D32"/>
    <w:rsid w:val="002F0479"/>
    <w:rsid w:val="002F096D"/>
    <w:rsid w:val="002F1406"/>
    <w:rsid w:val="002F1713"/>
    <w:rsid w:val="002F186E"/>
    <w:rsid w:val="002F1890"/>
    <w:rsid w:val="002F1DFB"/>
    <w:rsid w:val="002F2104"/>
    <w:rsid w:val="002F3216"/>
    <w:rsid w:val="002F3804"/>
    <w:rsid w:val="002F3C54"/>
    <w:rsid w:val="002F3EDE"/>
    <w:rsid w:val="002F3FBF"/>
    <w:rsid w:val="002F41D1"/>
    <w:rsid w:val="002F4986"/>
    <w:rsid w:val="002F49C5"/>
    <w:rsid w:val="002F4CFD"/>
    <w:rsid w:val="002F52F0"/>
    <w:rsid w:val="002F5472"/>
    <w:rsid w:val="002F5480"/>
    <w:rsid w:val="002F5BFD"/>
    <w:rsid w:val="002F622D"/>
    <w:rsid w:val="002F681E"/>
    <w:rsid w:val="002F6BB7"/>
    <w:rsid w:val="002F7C90"/>
    <w:rsid w:val="0030038B"/>
    <w:rsid w:val="00300C3B"/>
    <w:rsid w:val="00300C7E"/>
    <w:rsid w:val="00300E2C"/>
    <w:rsid w:val="00300E67"/>
    <w:rsid w:val="0030102C"/>
    <w:rsid w:val="003019F7"/>
    <w:rsid w:val="00301AD1"/>
    <w:rsid w:val="00301BD5"/>
    <w:rsid w:val="003020BC"/>
    <w:rsid w:val="0030212A"/>
    <w:rsid w:val="00302FD7"/>
    <w:rsid w:val="003030A3"/>
    <w:rsid w:val="0030336C"/>
    <w:rsid w:val="003039F8"/>
    <w:rsid w:val="00303EE4"/>
    <w:rsid w:val="00303FEF"/>
    <w:rsid w:val="00304140"/>
    <w:rsid w:val="0030489C"/>
    <w:rsid w:val="00304C47"/>
    <w:rsid w:val="00304DA1"/>
    <w:rsid w:val="00304FD2"/>
    <w:rsid w:val="003059B3"/>
    <w:rsid w:val="00305C44"/>
    <w:rsid w:val="003067DB"/>
    <w:rsid w:val="00306F54"/>
    <w:rsid w:val="0030750F"/>
    <w:rsid w:val="00307C8F"/>
    <w:rsid w:val="00307D61"/>
    <w:rsid w:val="00307FFB"/>
    <w:rsid w:val="00310104"/>
    <w:rsid w:val="00310328"/>
    <w:rsid w:val="003107C3"/>
    <w:rsid w:val="00310EBF"/>
    <w:rsid w:val="00311786"/>
    <w:rsid w:val="00311823"/>
    <w:rsid w:val="00311A69"/>
    <w:rsid w:val="00311B40"/>
    <w:rsid w:val="00311C11"/>
    <w:rsid w:val="003125AA"/>
    <w:rsid w:val="00312DED"/>
    <w:rsid w:val="00313481"/>
    <w:rsid w:val="00313919"/>
    <w:rsid w:val="00313A83"/>
    <w:rsid w:val="00314312"/>
    <w:rsid w:val="00314375"/>
    <w:rsid w:val="00314854"/>
    <w:rsid w:val="003149E9"/>
    <w:rsid w:val="00315CAE"/>
    <w:rsid w:val="00316064"/>
    <w:rsid w:val="0031630B"/>
    <w:rsid w:val="003165F5"/>
    <w:rsid w:val="003167F1"/>
    <w:rsid w:val="003168B6"/>
    <w:rsid w:val="00316978"/>
    <w:rsid w:val="00316AED"/>
    <w:rsid w:val="0031726C"/>
    <w:rsid w:val="00317704"/>
    <w:rsid w:val="00317A4B"/>
    <w:rsid w:val="00317D7E"/>
    <w:rsid w:val="00317F50"/>
    <w:rsid w:val="00320E6B"/>
    <w:rsid w:val="00320F1A"/>
    <w:rsid w:val="00321574"/>
    <w:rsid w:val="003215EA"/>
    <w:rsid w:val="003218E6"/>
    <w:rsid w:val="00321A29"/>
    <w:rsid w:val="00321AA8"/>
    <w:rsid w:val="00321BAB"/>
    <w:rsid w:val="00321C09"/>
    <w:rsid w:val="00322295"/>
    <w:rsid w:val="00323A22"/>
    <w:rsid w:val="0032423A"/>
    <w:rsid w:val="00324277"/>
    <w:rsid w:val="003247CB"/>
    <w:rsid w:val="0032498B"/>
    <w:rsid w:val="00324F7B"/>
    <w:rsid w:val="00325672"/>
    <w:rsid w:val="00325A05"/>
    <w:rsid w:val="00325C9F"/>
    <w:rsid w:val="00325F23"/>
    <w:rsid w:val="00326210"/>
    <w:rsid w:val="0032640D"/>
    <w:rsid w:val="00326498"/>
    <w:rsid w:val="00326A1D"/>
    <w:rsid w:val="00326EA7"/>
    <w:rsid w:val="00327170"/>
    <w:rsid w:val="00327211"/>
    <w:rsid w:val="00327D40"/>
    <w:rsid w:val="00327D6F"/>
    <w:rsid w:val="003300EF"/>
    <w:rsid w:val="003302BB"/>
    <w:rsid w:val="00330486"/>
    <w:rsid w:val="00330A43"/>
    <w:rsid w:val="00330B73"/>
    <w:rsid w:val="00330FE6"/>
    <w:rsid w:val="003314AA"/>
    <w:rsid w:val="003320A1"/>
    <w:rsid w:val="003323BF"/>
    <w:rsid w:val="00332508"/>
    <w:rsid w:val="00333747"/>
    <w:rsid w:val="003343EA"/>
    <w:rsid w:val="00334437"/>
    <w:rsid w:val="00334DCC"/>
    <w:rsid w:val="003350E8"/>
    <w:rsid w:val="003351BB"/>
    <w:rsid w:val="00335B11"/>
    <w:rsid w:val="00336CE1"/>
    <w:rsid w:val="00337374"/>
    <w:rsid w:val="00337AD7"/>
    <w:rsid w:val="00337C4E"/>
    <w:rsid w:val="00337E5F"/>
    <w:rsid w:val="0034058A"/>
    <w:rsid w:val="00340741"/>
    <w:rsid w:val="00340B71"/>
    <w:rsid w:val="00340EA5"/>
    <w:rsid w:val="0034119E"/>
    <w:rsid w:val="00341517"/>
    <w:rsid w:val="00341EDE"/>
    <w:rsid w:val="003422DA"/>
    <w:rsid w:val="00342453"/>
    <w:rsid w:val="003428CE"/>
    <w:rsid w:val="00342933"/>
    <w:rsid w:val="003429E8"/>
    <w:rsid w:val="00342F0D"/>
    <w:rsid w:val="003432CA"/>
    <w:rsid w:val="003433C3"/>
    <w:rsid w:val="00343909"/>
    <w:rsid w:val="00343A0F"/>
    <w:rsid w:val="003444C8"/>
    <w:rsid w:val="00345135"/>
    <w:rsid w:val="00345F43"/>
    <w:rsid w:val="00345F5A"/>
    <w:rsid w:val="00345F65"/>
    <w:rsid w:val="00346099"/>
    <w:rsid w:val="003465D1"/>
    <w:rsid w:val="003469BA"/>
    <w:rsid w:val="00346C5C"/>
    <w:rsid w:val="00346D32"/>
    <w:rsid w:val="00347001"/>
    <w:rsid w:val="003472F8"/>
    <w:rsid w:val="003473D3"/>
    <w:rsid w:val="00347429"/>
    <w:rsid w:val="00347492"/>
    <w:rsid w:val="00347CB9"/>
    <w:rsid w:val="00347E58"/>
    <w:rsid w:val="003504E2"/>
    <w:rsid w:val="0035061E"/>
    <w:rsid w:val="00350821"/>
    <w:rsid w:val="00350C83"/>
    <w:rsid w:val="00350E01"/>
    <w:rsid w:val="00351609"/>
    <w:rsid w:val="00351982"/>
    <w:rsid w:val="00351A8A"/>
    <w:rsid w:val="00351B2F"/>
    <w:rsid w:val="00351F66"/>
    <w:rsid w:val="0035204F"/>
    <w:rsid w:val="00352102"/>
    <w:rsid w:val="00352103"/>
    <w:rsid w:val="003523CA"/>
    <w:rsid w:val="0035288E"/>
    <w:rsid w:val="00352C4F"/>
    <w:rsid w:val="003537BC"/>
    <w:rsid w:val="0035409E"/>
    <w:rsid w:val="00354594"/>
    <w:rsid w:val="003546A0"/>
    <w:rsid w:val="00354E1E"/>
    <w:rsid w:val="00355900"/>
    <w:rsid w:val="003568E4"/>
    <w:rsid w:val="00356B09"/>
    <w:rsid w:val="00356E11"/>
    <w:rsid w:val="003572F5"/>
    <w:rsid w:val="00357424"/>
    <w:rsid w:val="0035757B"/>
    <w:rsid w:val="003578F7"/>
    <w:rsid w:val="0036034D"/>
    <w:rsid w:val="00360709"/>
    <w:rsid w:val="00360A0A"/>
    <w:rsid w:val="00360F9D"/>
    <w:rsid w:val="00361360"/>
    <w:rsid w:val="003619A1"/>
    <w:rsid w:val="00361C09"/>
    <w:rsid w:val="00362073"/>
    <w:rsid w:val="003622FF"/>
    <w:rsid w:val="003624CE"/>
    <w:rsid w:val="003628CC"/>
    <w:rsid w:val="00362C6E"/>
    <w:rsid w:val="00362D1A"/>
    <w:rsid w:val="00362E7A"/>
    <w:rsid w:val="00362F91"/>
    <w:rsid w:val="00363761"/>
    <w:rsid w:val="00363D49"/>
    <w:rsid w:val="00363E3C"/>
    <w:rsid w:val="003647A9"/>
    <w:rsid w:val="00364CB2"/>
    <w:rsid w:val="00364CE6"/>
    <w:rsid w:val="00365038"/>
    <w:rsid w:val="0036510C"/>
    <w:rsid w:val="0036535D"/>
    <w:rsid w:val="00365AF1"/>
    <w:rsid w:val="00366B93"/>
    <w:rsid w:val="00366C52"/>
    <w:rsid w:val="0036700F"/>
    <w:rsid w:val="00367367"/>
    <w:rsid w:val="003675F3"/>
    <w:rsid w:val="0036795C"/>
    <w:rsid w:val="00367AC3"/>
    <w:rsid w:val="00367FAA"/>
    <w:rsid w:val="003716C5"/>
    <w:rsid w:val="0037191F"/>
    <w:rsid w:val="00371E4B"/>
    <w:rsid w:val="00372272"/>
    <w:rsid w:val="003730DD"/>
    <w:rsid w:val="00373326"/>
    <w:rsid w:val="0037377C"/>
    <w:rsid w:val="003738DA"/>
    <w:rsid w:val="00373BF4"/>
    <w:rsid w:val="00373DDE"/>
    <w:rsid w:val="003742E1"/>
    <w:rsid w:val="0037460E"/>
    <w:rsid w:val="00374D98"/>
    <w:rsid w:val="00375460"/>
    <w:rsid w:val="00375B64"/>
    <w:rsid w:val="00375B95"/>
    <w:rsid w:val="00375E21"/>
    <w:rsid w:val="003760E3"/>
    <w:rsid w:val="0037621A"/>
    <w:rsid w:val="003767C1"/>
    <w:rsid w:val="00376972"/>
    <w:rsid w:val="00377372"/>
    <w:rsid w:val="0037741A"/>
    <w:rsid w:val="003777DA"/>
    <w:rsid w:val="003778B1"/>
    <w:rsid w:val="00377FE8"/>
    <w:rsid w:val="0037F525"/>
    <w:rsid w:val="0038042F"/>
    <w:rsid w:val="00380763"/>
    <w:rsid w:val="00380CE0"/>
    <w:rsid w:val="00380D2D"/>
    <w:rsid w:val="00381203"/>
    <w:rsid w:val="0038178F"/>
    <w:rsid w:val="00381D3C"/>
    <w:rsid w:val="00382704"/>
    <w:rsid w:val="00382A93"/>
    <w:rsid w:val="00382EE4"/>
    <w:rsid w:val="003830F4"/>
    <w:rsid w:val="00383975"/>
    <w:rsid w:val="00383985"/>
    <w:rsid w:val="003840D4"/>
    <w:rsid w:val="00384A5C"/>
    <w:rsid w:val="00385A47"/>
    <w:rsid w:val="00385E0C"/>
    <w:rsid w:val="00385FE3"/>
    <w:rsid w:val="00386186"/>
    <w:rsid w:val="00386DDE"/>
    <w:rsid w:val="003871B8"/>
    <w:rsid w:val="00387B35"/>
    <w:rsid w:val="00387C82"/>
    <w:rsid w:val="00390BA2"/>
    <w:rsid w:val="00390C8E"/>
    <w:rsid w:val="00390F18"/>
    <w:rsid w:val="00391540"/>
    <w:rsid w:val="00391EC0"/>
    <w:rsid w:val="00392256"/>
    <w:rsid w:val="0039237F"/>
    <w:rsid w:val="00392849"/>
    <w:rsid w:val="00392B2F"/>
    <w:rsid w:val="003932EC"/>
    <w:rsid w:val="00393E4D"/>
    <w:rsid w:val="00394154"/>
    <w:rsid w:val="00394888"/>
    <w:rsid w:val="00394B14"/>
    <w:rsid w:val="00394E3B"/>
    <w:rsid w:val="003957A5"/>
    <w:rsid w:val="003957B0"/>
    <w:rsid w:val="00395868"/>
    <w:rsid w:val="00395B68"/>
    <w:rsid w:val="00396DC7"/>
    <w:rsid w:val="00396E6A"/>
    <w:rsid w:val="00397AB6"/>
    <w:rsid w:val="00397CA6"/>
    <w:rsid w:val="00397E0C"/>
    <w:rsid w:val="003A081C"/>
    <w:rsid w:val="003A0BE0"/>
    <w:rsid w:val="003A15D9"/>
    <w:rsid w:val="003A1DC0"/>
    <w:rsid w:val="003A3154"/>
    <w:rsid w:val="003A32F3"/>
    <w:rsid w:val="003A34BC"/>
    <w:rsid w:val="003A364C"/>
    <w:rsid w:val="003A39C7"/>
    <w:rsid w:val="003A44B3"/>
    <w:rsid w:val="003A4594"/>
    <w:rsid w:val="003A4714"/>
    <w:rsid w:val="003A49EA"/>
    <w:rsid w:val="003A4ADF"/>
    <w:rsid w:val="003A4B72"/>
    <w:rsid w:val="003A4E69"/>
    <w:rsid w:val="003A5D81"/>
    <w:rsid w:val="003A5EEF"/>
    <w:rsid w:val="003A618C"/>
    <w:rsid w:val="003A652A"/>
    <w:rsid w:val="003A685C"/>
    <w:rsid w:val="003A6945"/>
    <w:rsid w:val="003A6D82"/>
    <w:rsid w:val="003A70FF"/>
    <w:rsid w:val="003A75DD"/>
    <w:rsid w:val="003A78A8"/>
    <w:rsid w:val="003A7C52"/>
    <w:rsid w:val="003A7F69"/>
    <w:rsid w:val="003B030C"/>
    <w:rsid w:val="003B0470"/>
    <w:rsid w:val="003B11FF"/>
    <w:rsid w:val="003B1753"/>
    <w:rsid w:val="003B1C6A"/>
    <w:rsid w:val="003B1D89"/>
    <w:rsid w:val="003B2443"/>
    <w:rsid w:val="003B2AF6"/>
    <w:rsid w:val="003B2EE4"/>
    <w:rsid w:val="003B300F"/>
    <w:rsid w:val="003B351D"/>
    <w:rsid w:val="003B39DF"/>
    <w:rsid w:val="003B3BC4"/>
    <w:rsid w:val="003B4313"/>
    <w:rsid w:val="003B4F84"/>
    <w:rsid w:val="003B5B3D"/>
    <w:rsid w:val="003B5F1D"/>
    <w:rsid w:val="003B6007"/>
    <w:rsid w:val="003B6426"/>
    <w:rsid w:val="003B7465"/>
    <w:rsid w:val="003B746A"/>
    <w:rsid w:val="003B7E88"/>
    <w:rsid w:val="003B7F8A"/>
    <w:rsid w:val="003C0A55"/>
    <w:rsid w:val="003C16F2"/>
    <w:rsid w:val="003C188C"/>
    <w:rsid w:val="003C1A0A"/>
    <w:rsid w:val="003C1B41"/>
    <w:rsid w:val="003C2135"/>
    <w:rsid w:val="003C2AF6"/>
    <w:rsid w:val="003C2B9F"/>
    <w:rsid w:val="003C2C8B"/>
    <w:rsid w:val="003C3099"/>
    <w:rsid w:val="003C3340"/>
    <w:rsid w:val="003C3356"/>
    <w:rsid w:val="003C34B8"/>
    <w:rsid w:val="003C3766"/>
    <w:rsid w:val="003C3963"/>
    <w:rsid w:val="003C3A86"/>
    <w:rsid w:val="003C3D0E"/>
    <w:rsid w:val="003C45C3"/>
    <w:rsid w:val="003C4A21"/>
    <w:rsid w:val="003C4A64"/>
    <w:rsid w:val="003C513F"/>
    <w:rsid w:val="003C5742"/>
    <w:rsid w:val="003C6259"/>
    <w:rsid w:val="003C6817"/>
    <w:rsid w:val="003C6BFA"/>
    <w:rsid w:val="003C6CED"/>
    <w:rsid w:val="003C7579"/>
    <w:rsid w:val="003C7CDF"/>
    <w:rsid w:val="003C7E38"/>
    <w:rsid w:val="003C7EAA"/>
    <w:rsid w:val="003D017A"/>
    <w:rsid w:val="003D036C"/>
    <w:rsid w:val="003D0579"/>
    <w:rsid w:val="003D07DB"/>
    <w:rsid w:val="003D0B2B"/>
    <w:rsid w:val="003D12B6"/>
    <w:rsid w:val="003D1427"/>
    <w:rsid w:val="003D1438"/>
    <w:rsid w:val="003D1FE5"/>
    <w:rsid w:val="003D2E83"/>
    <w:rsid w:val="003D32E7"/>
    <w:rsid w:val="003D33C5"/>
    <w:rsid w:val="003D3482"/>
    <w:rsid w:val="003D365D"/>
    <w:rsid w:val="003D3DB3"/>
    <w:rsid w:val="003D42F8"/>
    <w:rsid w:val="003D4347"/>
    <w:rsid w:val="003D4659"/>
    <w:rsid w:val="003D466F"/>
    <w:rsid w:val="003D470D"/>
    <w:rsid w:val="003D4BC1"/>
    <w:rsid w:val="003D4E75"/>
    <w:rsid w:val="003D4FF4"/>
    <w:rsid w:val="003D5323"/>
    <w:rsid w:val="003D5495"/>
    <w:rsid w:val="003D5B4D"/>
    <w:rsid w:val="003D5BA7"/>
    <w:rsid w:val="003D6591"/>
    <w:rsid w:val="003D6F44"/>
    <w:rsid w:val="003D73E3"/>
    <w:rsid w:val="003D7510"/>
    <w:rsid w:val="003D769C"/>
    <w:rsid w:val="003D77CE"/>
    <w:rsid w:val="003D7B9E"/>
    <w:rsid w:val="003E01E9"/>
    <w:rsid w:val="003E047E"/>
    <w:rsid w:val="003E0608"/>
    <w:rsid w:val="003E06D4"/>
    <w:rsid w:val="003E07E6"/>
    <w:rsid w:val="003E0E2F"/>
    <w:rsid w:val="003E19DF"/>
    <w:rsid w:val="003E218A"/>
    <w:rsid w:val="003E21C2"/>
    <w:rsid w:val="003E2426"/>
    <w:rsid w:val="003E2E3B"/>
    <w:rsid w:val="003E2FA6"/>
    <w:rsid w:val="003E3128"/>
    <w:rsid w:val="003E3379"/>
    <w:rsid w:val="003E354A"/>
    <w:rsid w:val="003E38E3"/>
    <w:rsid w:val="003E3D88"/>
    <w:rsid w:val="003E41BF"/>
    <w:rsid w:val="003E4754"/>
    <w:rsid w:val="003E4985"/>
    <w:rsid w:val="003E5087"/>
    <w:rsid w:val="003E52B2"/>
    <w:rsid w:val="003E5B55"/>
    <w:rsid w:val="003E5F68"/>
    <w:rsid w:val="003E5F97"/>
    <w:rsid w:val="003E6ECC"/>
    <w:rsid w:val="003E6F61"/>
    <w:rsid w:val="003E6F83"/>
    <w:rsid w:val="003E72AD"/>
    <w:rsid w:val="003E7718"/>
    <w:rsid w:val="003F0880"/>
    <w:rsid w:val="003F1913"/>
    <w:rsid w:val="003F1ECE"/>
    <w:rsid w:val="003F1F5A"/>
    <w:rsid w:val="003F200E"/>
    <w:rsid w:val="003F29E0"/>
    <w:rsid w:val="003F39B5"/>
    <w:rsid w:val="003F3E93"/>
    <w:rsid w:val="003F4442"/>
    <w:rsid w:val="003F46CC"/>
    <w:rsid w:val="003F47A9"/>
    <w:rsid w:val="003F527A"/>
    <w:rsid w:val="003F54B5"/>
    <w:rsid w:val="003F570A"/>
    <w:rsid w:val="003F5769"/>
    <w:rsid w:val="003F58C8"/>
    <w:rsid w:val="003F5D16"/>
    <w:rsid w:val="003F5D64"/>
    <w:rsid w:val="003F6DCF"/>
    <w:rsid w:val="003F6F88"/>
    <w:rsid w:val="003F765F"/>
    <w:rsid w:val="003F7A86"/>
    <w:rsid w:val="003F7FB1"/>
    <w:rsid w:val="00400A38"/>
    <w:rsid w:val="00401064"/>
    <w:rsid w:val="0040165C"/>
    <w:rsid w:val="004024EE"/>
    <w:rsid w:val="0040260E"/>
    <w:rsid w:val="00403124"/>
    <w:rsid w:val="00403137"/>
    <w:rsid w:val="00403358"/>
    <w:rsid w:val="004033EA"/>
    <w:rsid w:val="0040370C"/>
    <w:rsid w:val="00403766"/>
    <w:rsid w:val="004038FB"/>
    <w:rsid w:val="00403B5B"/>
    <w:rsid w:val="00403D3A"/>
    <w:rsid w:val="00403F9E"/>
    <w:rsid w:val="004047E6"/>
    <w:rsid w:val="00406559"/>
    <w:rsid w:val="00406654"/>
    <w:rsid w:val="0040684A"/>
    <w:rsid w:val="00406C66"/>
    <w:rsid w:val="004070D8"/>
    <w:rsid w:val="00407C5A"/>
    <w:rsid w:val="00407F6E"/>
    <w:rsid w:val="004105CA"/>
    <w:rsid w:val="00410646"/>
    <w:rsid w:val="00411F6E"/>
    <w:rsid w:val="004121FA"/>
    <w:rsid w:val="004128D9"/>
    <w:rsid w:val="00412C0B"/>
    <w:rsid w:val="00413152"/>
    <w:rsid w:val="004132B7"/>
    <w:rsid w:val="004136F2"/>
    <w:rsid w:val="0041396C"/>
    <w:rsid w:val="0041472A"/>
    <w:rsid w:val="00414F04"/>
    <w:rsid w:val="00415110"/>
    <w:rsid w:val="004155F5"/>
    <w:rsid w:val="00415D13"/>
    <w:rsid w:val="00415D6E"/>
    <w:rsid w:val="00415E83"/>
    <w:rsid w:val="00416015"/>
    <w:rsid w:val="00416765"/>
    <w:rsid w:val="00417417"/>
    <w:rsid w:val="0041741D"/>
    <w:rsid w:val="00417C7C"/>
    <w:rsid w:val="0042048B"/>
    <w:rsid w:val="00420754"/>
    <w:rsid w:val="0042092E"/>
    <w:rsid w:val="00421047"/>
    <w:rsid w:val="00421049"/>
    <w:rsid w:val="0042171A"/>
    <w:rsid w:val="00422829"/>
    <w:rsid w:val="00422D04"/>
    <w:rsid w:val="00423069"/>
    <w:rsid w:val="004236E5"/>
    <w:rsid w:val="00423774"/>
    <w:rsid w:val="0042392B"/>
    <w:rsid w:val="00423E1A"/>
    <w:rsid w:val="004249C0"/>
    <w:rsid w:val="00424FFE"/>
    <w:rsid w:val="00425037"/>
    <w:rsid w:val="00425395"/>
    <w:rsid w:val="00425700"/>
    <w:rsid w:val="0042585A"/>
    <w:rsid w:val="0042604F"/>
    <w:rsid w:val="00426067"/>
    <w:rsid w:val="004261CE"/>
    <w:rsid w:val="00426279"/>
    <w:rsid w:val="00426A6B"/>
    <w:rsid w:val="00426F0A"/>
    <w:rsid w:val="00427949"/>
    <w:rsid w:val="00427A5A"/>
    <w:rsid w:val="0043028E"/>
    <w:rsid w:val="004303BC"/>
    <w:rsid w:val="004309F0"/>
    <w:rsid w:val="00430B61"/>
    <w:rsid w:val="00430D7D"/>
    <w:rsid w:val="00431063"/>
    <w:rsid w:val="00431546"/>
    <w:rsid w:val="004315A8"/>
    <w:rsid w:val="00431A8A"/>
    <w:rsid w:val="00431E88"/>
    <w:rsid w:val="00432927"/>
    <w:rsid w:val="00432A06"/>
    <w:rsid w:val="004330FD"/>
    <w:rsid w:val="004332FB"/>
    <w:rsid w:val="004339C2"/>
    <w:rsid w:val="00433BF1"/>
    <w:rsid w:val="00433E57"/>
    <w:rsid w:val="0043459D"/>
    <w:rsid w:val="00434A55"/>
    <w:rsid w:val="00434ABF"/>
    <w:rsid w:val="00434D8C"/>
    <w:rsid w:val="004359BE"/>
    <w:rsid w:val="00436006"/>
    <w:rsid w:val="0043697F"/>
    <w:rsid w:val="00436A74"/>
    <w:rsid w:val="00436D11"/>
    <w:rsid w:val="00436E05"/>
    <w:rsid w:val="00437307"/>
    <w:rsid w:val="00437C28"/>
    <w:rsid w:val="004401B9"/>
    <w:rsid w:val="004406CF"/>
    <w:rsid w:val="00440F30"/>
    <w:rsid w:val="004413F1"/>
    <w:rsid w:val="004415C1"/>
    <w:rsid w:val="00441C07"/>
    <w:rsid w:val="00442329"/>
    <w:rsid w:val="00442388"/>
    <w:rsid w:val="0044249E"/>
    <w:rsid w:val="00442B1F"/>
    <w:rsid w:val="00442B4E"/>
    <w:rsid w:val="00442FB3"/>
    <w:rsid w:val="004430B0"/>
    <w:rsid w:val="004430C3"/>
    <w:rsid w:val="00443931"/>
    <w:rsid w:val="00443A9F"/>
    <w:rsid w:val="00443C01"/>
    <w:rsid w:val="00443E2A"/>
    <w:rsid w:val="0044412B"/>
    <w:rsid w:val="004446D0"/>
    <w:rsid w:val="0044471C"/>
    <w:rsid w:val="00444A68"/>
    <w:rsid w:val="004450EA"/>
    <w:rsid w:val="0044510D"/>
    <w:rsid w:val="00445AF9"/>
    <w:rsid w:val="00446586"/>
    <w:rsid w:val="00446852"/>
    <w:rsid w:val="00450491"/>
    <w:rsid w:val="00450A63"/>
    <w:rsid w:val="00450B60"/>
    <w:rsid w:val="00451ECD"/>
    <w:rsid w:val="00452314"/>
    <w:rsid w:val="004524B7"/>
    <w:rsid w:val="004525AF"/>
    <w:rsid w:val="00452D48"/>
    <w:rsid w:val="00452FB3"/>
    <w:rsid w:val="00453739"/>
    <w:rsid w:val="004539B3"/>
    <w:rsid w:val="0045401E"/>
    <w:rsid w:val="00454971"/>
    <w:rsid w:val="00454D24"/>
    <w:rsid w:val="004555DC"/>
    <w:rsid w:val="00455A66"/>
    <w:rsid w:val="00455B72"/>
    <w:rsid w:val="00455BC1"/>
    <w:rsid w:val="00455C60"/>
    <w:rsid w:val="00455DFA"/>
    <w:rsid w:val="00455E20"/>
    <w:rsid w:val="00455F76"/>
    <w:rsid w:val="004560BF"/>
    <w:rsid w:val="004561D2"/>
    <w:rsid w:val="00456928"/>
    <w:rsid w:val="00457438"/>
    <w:rsid w:val="004574E9"/>
    <w:rsid w:val="0045770D"/>
    <w:rsid w:val="004600E0"/>
    <w:rsid w:val="0046051A"/>
    <w:rsid w:val="004607C7"/>
    <w:rsid w:val="00460A1A"/>
    <w:rsid w:val="00461595"/>
    <w:rsid w:val="00461BCE"/>
    <w:rsid w:val="00461C22"/>
    <w:rsid w:val="00461DE8"/>
    <w:rsid w:val="004623EE"/>
    <w:rsid w:val="004627DA"/>
    <w:rsid w:val="004630DA"/>
    <w:rsid w:val="00463279"/>
    <w:rsid w:val="004639B1"/>
    <w:rsid w:val="00463CB6"/>
    <w:rsid w:val="00463FA2"/>
    <w:rsid w:val="004647BF"/>
    <w:rsid w:val="00464DBB"/>
    <w:rsid w:val="00464F72"/>
    <w:rsid w:val="00465359"/>
    <w:rsid w:val="004659BC"/>
    <w:rsid w:val="00465CB9"/>
    <w:rsid w:val="0046602C"/>
    <w:rsid w:val="00466344"/>
    <w:rsid w:val="0046686A"/>
    <w:rsid w:val="00466977"/>
    <w:rsid w:val="004669A9"/>
    <w:rsid w:val="00466AAA"/>
    <w:rsid w:val="0046762F"/>
    <w:rsid w:val="00467BFB"/>
    <w:rsid w:val="00467DD8"/>
    <w:rsid w:val="00467E34"/>
    <w:rsid w:val="00471A6E"/>
    <w:rsid w:val="00471C4E"/>
    <w:rsid w:val="00471F93"/>
    <w:rsid w:val="004720B5"/>
    <w:rsid w:val="00472631"/>
    <w:rsid w:val="004726BE"/>
    <w:rsid w:val="00472C30"/>
    <w:rsid w:val="00472FDE"/>
    <w:rsid w:val="0047337E"/>
    <w:rsid w:val="0047484B"/>
    <w:rsid w:val="00475312"/>
    <w:rsid w:val="0047551A"/>
    <w:rsid w:val="004759A3"/>
    <w:rsid w:val="00475F91"/>
    <w:rsid w:val="0047610B"/>
    <w:rsid w:val="00476124"/>
    <w:rsid w:val="0047684C"/>
    <w:rsid w:val="00476C25"/>
    <w:rsid w:val="00477875"/>
    <w:rsid w:val="0047794A"/>
    <w:rsid w:val="00477C15"/>
    <w:rsid w:val="00477D98"/>
    <w:rsid w:val="00480C5E"/>
    <w:rsid w:val="00480C7D"/>
    <w:rsid w:val="00480F20"/>
    <w:rsid w:val="00481306"/>
    <w:rsid w:val="00481407"/>
    <w:rsid w:val="0048168A"/>
    <w:rsid w:val="00482E1D"/>
    <w:rsid w:val="00483241"/>
    <w:rsid w:val="004832CC"/>
    <w:rsid w:val="00483445"/>
    <w:rsid w:val="00483753"/>
    <w:rsid w:val="00483AD5"/>
    <w:rsid w:val="00483B0D"/>
    <w:rsid w:val="00483FE7"/>
    <w:rsid w:val="004845B6"/>
    <w:rsid w:val="00484827"/>
    <w:rsid w:val="00484938"/>
    <w:rsid w:val="004852E4"/>
    <w:rsid w:val="004864DE"/>
    <w:rsid w:val="00486693"/>
    <w:rsid w:val="0048681F"/>
    <w:rsid w:val="00486CC8"/>
    <w:rsid w:val="00486EFC"/>
    <w:rsid w:val="00487260"/>
    <w:rsid w:val="0048758B"/>
    <w:rsid w:val="004876A9"/>
    <w:rsid w:val="004877A8"/>
    <w:rsid w:val="004878A0"/>
    <w:rsid w:val="00487B3E"/>
    <w:rsid w:val="00490020"/>
    <w:rsid w:val="00490114"/>
    <w:rsid w:val="00490194"/>
    <w:rsid w:val="0049037F"/>
    <w:rsid w:val="004905CC"/>
    <w:rsid w:val="00490712"/>
    <w:rsid w:val="004908BC"/>
    <w:rsid w:val="004908E7"/>
    <w:rsid w:val="0049105C"/>
    <w:rsid w:val="0049129F"/>
    <w:rsid w:val="004918FB"/>
    <w:rsid w:val="00491A4C"/>
    <w:rsid w:val="004925C2"/>
    <w:rsid w:val="00492CFB"/>
    <w:rsid w:val="004930B0"/>
    <w:rsid w:val="00493150"/>
    <w:rsid w:val="00493AAA"/>
    <w:rsid w:val="00494458"/>
    <w:rsid w:val="004946F0"/>
    <w:rsid w:val="00494758"/>
    <w:rsid w:val="004959BE"/>
    <w:rsid w:val="004959C0"/>
    <w:rsid w:val="00495BC7"/>
    <w:rsid w:val="004962E7"/>
    <w:rsid w:val="00496867"/>
    <w:rsid w:val="00496DD4"/>
    <w:rsid w:val="00497681"/>
    <w:rsid w:val="00497771"/>
    <w:rsid w:val="00497BE5"/>
    <w:rsid w:val="004A0269"/>
    <w:rsid w:val="004A03C5"/>
    <w:rsid w:val="004A08DF"/>
    <w:rsid w:val="004A0982"/>
    <w:rsid w:val="004A0D93"/>
    <w:rsid w:val="004A1715"/>
    <w:rsid w:val="004A23D7"/>
    <w:rsid w:val="004A2579"/>
    <w:rsid w:val="004A27D6"/>
    <w:rsid w:val="004A29A5"/>
    <w:rsid w:val="004A32BB"/>
    <w:rsid w:val="004A3F0E"/>
    <w:rsid w:val="004A40D2"/>
    <w:rsid w:val="004A43CC"/>
    <w:rsid w:val="004A4730"/>
    <w:rsid w:val="004A4825"/>
    <w:rsid w:val="004A5262"/>
    <w:rsid w:val="004A6982"/>
    <w:rsid w:val="004A6C10"/>
    <w:rsid w:val="004A6F4A"/>
    <w:rsid w:val="004A7CB0"/>
    <w:rsid w:val="004B01DE"/>
    <w:rsid w:val="004B054E"/>
    <w:rsid w:val="004B06CC"/>
    <w:rsid w:val="004B0CF6"/>
    <w:rsid w:val="004B1074"/>
    <w:rsid w:val="004B118D"/>
    <w:rsid w:val="004B15FE"/>
    <w:rsid w:val="004B1A3C"/>
    <w:rsid w:val="004B23AE"/>
    <w:rsid w:val="004B264E"/>
    <w:rsid w:val="004B2C67"/>
    <w:rsid w:val="004B371E"/>
    <w:rsid w:val="004B39D1"/>
    <w:rsid w:val="004B3F3A"/>
    <w:rsid w:val="004B41F7"/>
    <w:rsid w:val="004B49C6"/>
    <w:rsid w:val="004B4BDA"/>
    <w:rsid w:val="004B4FDA"/>
    <w:rsid w:val="004B55AF"/>
    <w:rsid w:val="004B5FF9"/>
    <w:rsid w:val="004B62AB"/>
    <w:rsid w:val="004B6489"/>
    <w:rsid w:val="004B65B2"/>
    <w:rsid w:val="004B6DDF"/>
    <w:rsid w:val="004B765A"/>
    <w:rsid w:val="004B7A28"/>
    <w:rsid w:val="004C0015"/>
    <w:rsid w:val="004C015E"/>
    <w:rsid w:val="004C03B1"/>
    <w:rsid w:val="004C0423"/>
    <w:rsid w:val="004C06CD"/>
    <w:rsid w:val="004C0D9B"/>
    <w:rsid w:val="004C12E0"/>
    <w:rsid w:val="004C1816"/>
    <w:rsid w:val="004C19EE"/>
    <w:rsid w:val="004C1EC1"/>
    <w:rsid w:val="004C2484"/>
    <w:rsid w:val="004C2814"/>
    <w:rsid w:val="004C2D1A"/>
    <w:rsid w:val="004C306C"/>
    <w:rsid w:val="004C38EF"/>
    <w:rsid w:val="004C4B3D"/>
    <w:rsid w:val="004C5127"/>
    <w:rsid w:val="004C55F6"/>
    <w:rsid w:val="004C5D95"/>
    <w:rsid w:val="004C5FA3"/>
    <w:rsid w:val="004C5FED"/>
    <w:rsid w:val="004C62F1"/>
    <w:rsid w:val="004C6A8D"/>
    <w:rsid w:val="004C6C4E"/>
    <w:rsid w:val="004C7051"/>
    <w:rsid w:val="004C7159"/>
    <w:rsid w:val="004C75DC"/>
    <w:rsid w:val="004C777F"/>
    <w:rsid w:val="004C77CE"/>
    <w:rsid w:val="004C7AC5"/>
    <w:rsid w:val="004C7B8B"/>
    <w:rsid w:val="004D02BB"/>
    <w:rsid w:val="004D0B35"/>
    <w:rsid w:val="004D0BB4"/>
    <w:rsid w:val="004D217D"/>
    <w:rsid w:val="004D2428"/>
    <w:rsid w:val="004D2964"/>
    <w:rsid w:val="004D2C4C"/>
    <w:rsid w:val="004D36E3"/>
    <w:rsid w:val="004D3A69"/>
    <w:rsid w:val="004D3FA7"/>
    <w:rsid w:val="004D4095"/>
    <w:rsid w:val="004D520A"/>
    <w:rsid w:val="004D5D4C"/>
    <w:rsid w:val="004D6095"/>
    <w:rsid w:val="004D633A"/>
    <w:rsid w:val="004D6949"/>
    <w:rsid w:val="004D695D"/>
    <w:rsid w:val="004D69CC"/>
    <w:rsid w:val="004D6B81"/>
    <w:rsid w:val="004D6BC4"/>
    <w:rsid w:val="004D6BE8"/>
    <w:rsid w:val="004D6C42"/>
    <w:rsid w:val="004D7311"/>
    <w:rsid w:val="004D75B3"/>
    <w:rsid w:val="004D79AB"/>
    <w:rsid w:val="004D7CA7"/>
    <w:rsid w:val="004E0239"/>
    <w:rsid w:val="004E0999"/>
    <w:rsid w:val="004E0A4A"/>
    <w:rsid w:val="004E19A3"/>
    <w:rsid w:val="004E19D1"/>
    <w:rsid w:val="004E2142"/>
    <w:rsid w:val="004E2441"/>
    <w:rsid w:val="004E29C3"/>
    <w:rsid w:val="004E2A65"/>
    <w:rsid w:val="004E2F7E"/>
    <w:rsid w:val="004E386A"/>
    <w:rsid w:val="004E39A4"/>
    <w:rsid w:val="004E4BC5"/>
    <w:rsid w:val="004E4D04"/>
    <w:rsid w:val="004E53D4"/>
    <w:rsid w:val="004E5BDA"/>
    <w:rsid w:val="004E5DB5"/>
    <w:rsid w:val="004E5FAB"/>
    <w:rsid w:val="004E643D"/>
    <w:rsid w:val="004E6A38"/>
    <w:rsid w:val="004E6D4E"/>
    <w:rsid w:val="004E6D90"/>
    <w:rsid w:val="004E6E92"/>
    <w:rsid w:val="004E6F62"/>
    <w:rsid w:val="004E72FE"/>
    <w:rsid w:val="004E7CF0"/>
    <w:rsid w:val="004F01DD"/>
    <w:rsid w:val="004F03AE"/>
    <w:rsid w:val="004F1794"/>
    <w:rsid w:val="004F1A77"/>
    <w:rsid w:val="004F21B2"/>
    <w:rsid w:val="004F2AAC"/>
    <w:rsid w:val="004F2B2A"/>
    <w:rsid w:val="004F2CBA"/>
    <w:rsid w:val="004F2F44"/>
    <w:rsid w:val="004F34DD"/>
    <w:rsid w:val="004F36FC"/>
    <w:rsid w:val="004F37EF"/>
    <w:rsid w:val="004F4189"/>
    <w:rsid w:val="004F476E"/>
    <w:rsid w:val="004F4A83"/>
    <w:rsid w:val="004F4D6A"/>
    <w:rsid w:val="004F5DC0"/>
    <w:rsid w:val="004F64D9"/>
    <w:rsid w:val="004F651D"/>
    <w:rsid w:val="004F6594"/>
    <w:rsid w:val="004F678E"/>
    <w:rsid w:val="004F6EC4"/>
    <w:rsid w:val="004F6F41"/>
    <w:rsid w:val="004F7236"/>
    <w:rsid w:val="004F771A"/>
    <w:rsid w:val="004F7D20"/>
    <w:rsid w:val="004F7E26"/>
    <w:rsid w:val="00500795"/>
    <w:rsid w:val="00500C98"/>
    <w:rsid w:val="00500F2F"/>
    <w:rsid w:val="00501CCD"/>
    <w:rsid w:val="005022AE"/>
    <w:rsid w:val="0050291F"/>
    <w:rsid w:val="005032AA"/>
    <w:rsid w:val="005033E2"/>
    <w:rsid w:val="0050375C"/>
    <w:rsid w:val="005037A8"/>
    <w:rsid w:val="00503A84"/>
    <w:rsid w:val="00503C11"/>
    <w:rsid w:val="00503C50"/>
    <w:rsid w:val="005040D1"/>
    <w:rsid w:val="005041EB"/>
    <w:rsid w:val="0050429D"/>
    <w:rsid w:val="005055B3"/>
    <w:rsid w:val="005057F4"/>
    <w:rsid w:val="0050586C"/>
    <w:rsid w:val="005062D8"/>
    <w:rsid w:val="0050652A"/>
    <w:rsid w:val="005068FD"/>
    <w:rsid w:val="00506B7C"/>
    <w:rsid w:val="00506BFA"/>
    <w:rsid w:val="00506D41"/>
    <w:rsid w:val="0050733E"/>
    <w:rsid w:val="005075A8"/>
    <w:rsid w:val="00507B38"/>
    <w:rsid w:val="00507CCA"/>
    <w:rsid w:val="00510CAF"/>
    <w:rsid w:val="00510FD9"/>
    <w:rsid w:val="005110DC"/>
    <w:rsid w:val="005112EA"/>
    <w:rsid w:val="005119D5"/>
    <w:rsid w:val="00511D29"/>
    <w:rsid w:val="00512404"/>
    <w:rsid w:val="0051253B"/>
    <w:rsid w:val="005126D1"/>
    <w:rsid w:val="00512858"/>
    <w:rsid w:val="00512883"/>
    <w:rsid w:val="005129AB"/>
    <w:rsid w:val="00512E63"/>
    <w:rsid w:val="00512ED6"/>
    <w:rsid w:val="0051334C"/>
    <w:rsid w:val="005136BD"/>
    <w:rsid w:val="00513852"/>
    <w:rsid w:val="005143E8"/>
    <w:rsid w:val="00515230"/>
    <w:rsid w:val="005153A0"/>
    <w:rsid w:val="0051561A"/>
    <w:rsid w:val="0051578E"/>
    <w:rsid w:val="00516485"/>
    <w:rsid w:val="005166F9"/>
    <w:rsid w:val="0051702C"/>
    <w:rsid w:val="00517BEB"/>
    <w:rsid w:val="0052034A"/>
    <w:rsid w:val="0052034E"/>
    <w:rsid w:val="0052066A"/>
    <w:rsid w:val="005206D0"/>
    <w:rsid w:val="0052129D"/>
    <w:rsid w:val="005214C5"/>
    <w:rsid w:val="00523A02"/>
    <w:rsid w:val="00523E4E"/>
    <w:rsid w:val="00523F8E"/>
    <w:rsid w:val="0052444F"/>
    <w:rsid w:val="0052474E"/>
    <w:rsid w:val="00524BAE"/>
    <w:rsid w:val="005260AE"/>
    <w:rsid w:val="00527220"/>
    <w:rsid w:val="00527611"/>
    <w:rsid w:val="00527CBB"/>
    <w:rsid w:val="00527F88"/>
    <w:rsid w:val="00530031"/>
    <w:rsid w:val="00530CF2"/>
    <w:rsid w:val="00530D5F"/>
    <w:rsid w:val="00530FE8"/>
    <w:rsid w:val="00531152"/>
    <w:rsid w:val="0053141F"/>
    <w:rsid w:val="005319DF"/>
    <w:rsid w:val="005319E8"/>
    <w:rsid w:val="00532498"/>
    <w:rsid w:val="00532930"/>
    <w:rsid w:val="005329D0"/>
    <w:rsid w:val="00532EBC"/>
    <w:rsid w:val="00533089"/>
    <w:rsid w:val="00533AC2"/>
    <w:rsid w:val="00533B69"/>
    <w:rsid w:val="0053472D"/>
    <w:rsid w:val="0053478A"/>
    <w:rsid w:val="005347FE"/>
    <w:rsid w:val="005349B8"/>
    <w:rsid w:val="00535188"/>
    <w:rsid w:val="00535535"/>
    <w:rsid w:val="00535B64"/>
    <w:rsid w:val="00535E5C"/>
    <w:rsid w:val="00535F6F"/>
    <w:rsid w:val="0053683A"/>
    <w:rsid w:val="00536E38"/>
    <w:rsid w:val="0053751B"/>
    <w:rsid w:val="005375D1"/>
    <w:rsid w:val="0053769C"/>
    <w:rsid w:val="005376CE"/>
    <w:rsid w:val="00537744"/>
    <w:rsid w:val="005378FF"/>
    <w:rsid w:val="00540519"/>
    <w:rsid w:val="0054078F"/>
    <w:rsid w:val="00540992"/>
    <w:rsid w:val="00540AA5"/>
    <w:rsid w:val="005416AC"/>
    <w:rsid w:val="00541A22"/>
    <w:rsid w:val="00541D29"/>
    <w:rsid w:val="0054250D"/>
    <w:rsid w:val="005433D1"/>
    <w:rsid w:val="00543AA1"/>
    <w:rsid w:val="00543F13"/>
    <w:rsid w:val="00544D74"/>
    <w:rsid w:val="00545300"/>
    <w:rsid w:val="005454D3"/>
    <w:rsid w:val="0054622D"/>
    <w:rsid w:val="005466F3"/>
    <w:rsid w:val="005469E3"/>
    <w:rsid w:val="00546B3B"/>
    <w:rsid w:val="00546CE9"/>
    <w:rsid w:val="0054742A"/>
    <w:rsid w:val="00547446"/>
    <w:rsid w:val="00547457"/>
    <w:rsid w:val="0054758B"/>
    <w:rsid w:val="00547791"/>
    <w:rsid w:val="00547907"/>
    <w:rsid w:val="00547C75"/>
    <w:rsid w:val="00547FE1"/>
    <w:rsid w:val="005505A2"/>
    <w:rsid w:val="00550723"/>
    <w:rsid w:val="00550A88"/>
    <w:rsid w:val="00550E75"/>
    <w:rsid w:val="00551223"/>
    <w:rsid w:val="0055139D"/>
    <w:rsid w:val="00551D44"/>
    <w:rsid w:val="00551D72"/>
    <w:rsid w:val="00552054"/>
    <w:rsid w:val="005522FC"/>
    <w:rsid w:val="005527E9"/>
    <w:rsid w:val="00553AB0"/>
    <w:rsid w:val="00553DE9"/>
    <w:rsid w:val="00554A21"/>
    <w:rsid w:val="00554A69"/>
    <w:rsid w:val="00554EDC"/>
    <w:rsid w:val="005550B1"/>
    <w:rsid w:val="0055557C"/>
    <w:rsid w:val="00555625"/>
    <w:rsid w:val="005557D8"/>
    <w:rsid w:val="0055645F"/>
    <w:rsid w:val="00556B6C"/>
    <w:rsid w:val="00556FC4"/>
    <w:rsid w:val="00557164"/>
    <w:rsid w:val="005577EB"/>
    <w:rsid w:val="00557FAA"/>
    <w:rsid w:val="005601AF"/>
    <w:rsid w:val="00560214"/>
    <w:rsid w:val="005604A1"/>
    <w:rsid w:val="00560647"/>
    <w:rsid w:val="00560C1A"/>
    <w:rsid w:val="00560C5C"/>
    <w:rsid w:val="00560DBF"/>
    <w:rsid w:val="00560E57"/>
    <w:rsid w:val="0056115C"/>
    <w:rsid w:val="005617A7"/>
    <w:rsid w:val="00561CC7"/>
    <w:rsid w:val="00561D7D"/>
    <w:rsid w:val="00561D84"/>
    <w:rsid w:val="00561E3B"/>
    <w:rsid w:val="0056203B"/>
    <w:rsid w:val="0056221C"/>
    <w:rsid w:val="00563D60"/>
    <w:rsid w:val="00563E43"/>
    <w:rsid w:val="00564234"/>
    <w:rsid w:val="00564AFA"/>
    <w:rsid w:val="00564AFD"/>
    <w:rsid w:val="00564DF0"/>
    <w:rsid w:val="00565024"/>
    <w:rsid w:val="0056510B"/>
    <w:rsid w:val="0056550B"/>
    <w:rsid w:val="00565544"/>
    <w:rsid w:val="00565937"/>
    <w:rsid w:val="00565B40"/>
    <w:rsid w:val="005662EB"/>
    <w:rsid w:val="00566BA1"/>
    <w:rsid w:val="005670D5"/>
    <w:rsid w:val="005673EC"/>
    <w:rsid w:val="0056766A"/>
    <w:rsid w:val="005679A2"/>
    <w:rsid w:val="00567ACC"/>
    <w:rsid w:val="00570CDE"/>
    <w:rsid w:val="00570D8E"/>
    <w:rsid w:val="00570EE3"/>
    <w:rsid w:val="005711B8"/>
    <w:rsid w:val="0057130E"/>
    <w:rsid w:val="00571B10"/>
    <w:rsid w:val="00572281"/>
    <w:rsid w:val="00572ECB"/>
    <w:rsid w:val="00573396"/>
    <w:rsid w:val="00573560"/>
    <w:rsid w:val="00573563"/>
    <w:rsid w:val="0057366F"/>
    <w:rsid w:val="005736D2"/>
    <w:rsid w:val="00574FA3"/>
    <w:rsid w:val="00575041"/>
    <w:rsid w:val="00575905"/>
    <w:rsid w:val="005759A8"/>
    <w:rsid w:val="0057630E"/>
    <w:rsid w:val="005763BB"/>
    <w:rsid w:val="00576D61"/>
    <w:rsid w:val="005770C6"/>
    <w:rsid w:val="00577629"/>
    <w:rsid w:val="005778C8"/>
    <w:rsid w:val="00577DA7"/>
    <w:rsid w:val="005805D4"/>
    <w:rsid w:val="00580C4F"/>
    <w:rsid w:val="0058107B"/>
    <w:rsid w:val="005815D2"/>
    <w:rsid w:val="00581CCD"/>
    <w:rsid w:val="00581E33"/>
    <w:rsid w:val="00581EA4"/>
    <w:rsid w:val="005823B2"/>
    <w:rsid w:val="005826C5"/>
    <w:rsid w:val="00582AB1"/>
    <w:rsid w:val="00582F68"/>
    <w:rsid w:val="00583232"/>
    <w:rsid w:val="005832B5"/>
    <w:rsid w:val="00583348"/>
    <w:rsid w:val="00583910"/>
    <w:rsid w:val="00583995"/>
    <w:rsid w:val="00583A3F"/>
    <w:rsid w:val="0058405D"/>
    <w:rsid w:val="0058441E"/>
    <w:rsid w:val="00584719"/>
    <w:rsid w:val="00585024"/>
    <w:rsid w:val="0058563D"/>
    <w:rsid w:val="0058580F"/>
    <w:rsid w:val="00585C52"/>
    <w:rsid w:val="0058654C"/>
    <w:rsid w:val="00586A29"/>
    <w:rsid w:val="00586A9F"/>
    <w:rsid w:val="00586D2F"/>
    <w:rsid w:val="00587130"/>
    <w:rsid w:val="005875D6"/>
    <w:rsid w:val="00587ECC"/>
    <w:rsid w:val="00590041"/>
    <w:rsid w:val="005901ED"/>
    <w:rsid w:val="005903A0"/>
    <w:rsid w:val="00590C93"/>
    <w:rsid w:val="00590EA0"/>
    <w:rsid w:val="0059100B"/>
    <w:rsid w:val="0059130A"/>
    <w:rsid w:val="0059169C"/>
    <w:rsid w:val="00591805"/>
    <w:rsid w:val="00591D54"/>
    <w:rsid w:val="00591DBA"/>
    <w:rsid w:val="00592B12"/>
    <w:rsid w:val="00592CE1"/>
    <w:rsid w:val="00592EC0"/>
    <w:rsid w:val="005950C5"/>
    <w:rsid w:val="005953F6"/>
    <w:rsid w:val="00595F76"/>
    <w:rsid w:val="005960DD"/>
    <w:rsid w:val="0059613E"/>
    <w:rsid w:val="0059633F"/>
    <w:rsid w:val="00596486"/>
    <w:rsid w:val="00596556"/>
    <w:rsid w:val="00596734"/>
    <w:rsid w:val="005969FB"/>
    <w:rsid w:val="00596D37"/>
    <w:rsid w:val="00596EDB"/>
    <w:rsid w:val="00597798"/>
    <w:rsid w:val="00597CD9"/>
    <w:rsid w:val="005A0067"/>
    <w:rsid w:val="005A0162"/>
    <w:rsid w:val="005A0412"/>
    <w:rsid w:val="005A093A"/>
    <w:rsid w:val="005A0A58"/>
    <w:rsid w:val="005A1121"/>
    <w:rsid w:val="005A139C"/>
    <w:rsid w:val="005A1545"/>
    <w:rsid w:val="005A1B15"/>
    <w:rsid w:val="005A240D"/>
    <w:rsid w:val="005A2D0E"/>
    <w:rsid w:val="005A356E"/>
    <w:rsid w:val="005A4820"/>
    <w:rsid w:val="005A48EC"/>
    <w:rsid w:val="005A4909"/>
    <w:rsid w:val="005A64F5"/>
    <w:rsid w:val="005A6B38"/>
    <w:rsid w:val="005A71C7"/>
    <w:rsid w:val="005A7B84"/>
    <w:rsid w:val="005A7F8C"/>
    <w:rsid w:val="005B093D"/>
    <w:rsid w:val="005B1441"/>
    <w:rsid w:val="005B165E"/>
    <w:rsid w:val="005B19B2"/>
    <w:rsid w:val="005B1D5F"/>
    <w:rsid w:val="005B1FA4"/>
    <w:rsid w:val="005B2010"/>
    <w:rsid w:val="005B385E"/>
    <w:rsid w:val="005B3AC6"/>
    <w:rsid w:val="005B4553"/>
    <w:rsid w:val="005B4C2E"/>
    <w:rsid w:val="005B54FC"/>
    <w:rsid w:val="005B5E97"/>
    <w:rsid w:val="005B60F3"/>
    <w:rsid w:val="005B6121"/>
    <w:rsid w:val="005B6541"/>
    <w:rsid w:val="005B7147"/>
    <w:rsid w:val="005B71ED"/>
    <w:rsid w:val="005B763E"/>
    <w:rsid w:val="005B78B2"/>
    <w:rsid w:val="005B79F2"/>
    <w:rsid w:val="005B7B5F"/>
    <w:rsid w:val="005C0572"/>
    <w:rsid w:val="005C0758"/>
    <w:rsid w:val="005C0BB4"/>
    <w:rsid w:val="005C1014"/>
    <w:rsid w:val="005C15FA"/>
    <w:rsid w:val="005C21A4"/>
    <w:rsid w:val="005C22D5"/>
    <w:rsid w:val="005C307D"/>
    <w:rsid w:val="005C3430"/>
    <w:rsid w:val="005C38B8"/>
    <w:rsid w:val="005C4FDD"/>
    <w:rsid w:val="005C5556"/>
    <w:rsid w:val="005C6FE5"/>
    <w:rsid w:val="005C7572"/>
    <w:rsid w:val="005D1A0E"/>
    <w:rsid w:val="005D1CAF"/>
    <w:rsid w:val="005D1E09"/>
    <w:rsid w:val="005D1E31"/>
    <w:rsid w:val="005D1FD1"/>
    <w:rsid w:val="005D22C1"/>
    <w:rsid w:val="005D25E6"/>
    <w:rsid w:val="005D2AD9"/>
    <w:rsid w:val="005D2ED4"/>
    <w:rsid w:val="005D2EF5"/>
    <w:rsid w:val="005D3994"/>
    <w:rsid w:val="005D39A5"/>
    <w:rsid w:val="005D3A67"/>
    <w:rsid w:val="005D3FEF"/>
    <w:rsid w:val="005D4073"/>
    <w:rsid w:val="005D488A"/>
    <w:rsid w:val="005D54EE"/>
    <w:rsid w:val="005D5964"/>
    <w:rsid w:val="005D60DD"/>
    <w:rsid w:val="005D621C"/>
    <w:rsid w:val="005D64E5"/>
    <w:rsid w:val="005D6953"/>
    <w:rsid w:val="005D6C6C"/>
    <w:rsid w:val="005D7A02"/>
    <w:rsid w:val="005D7E6D"/>
    <w:rsid w:val="005D7F90"/>
    <w:rsid w:val="005E0114"/>
    <w:rsid w:val="005E019E"/>
    <w:rsid w:val="005E0A51"/>
    <w:rsid w:val="005E0DB1"/>
    <w:rsid w:val="005E0DBF"/>
    <w:rsid w:val="005E0EA2"/>
    <w:rsid w:val="005E149B"/>
    <w:rsid w:val="005E170B"/>
    <w:rsid w:val="005E176C"/>
    <w:rsid w:val="005E1D78"/>
    <w:rsid w:val="005E1FF0"/>
    <w:rsid w:val="005E1FF4"/>
    <w:rsid w:val="005E206D"/>
    <w:rsid w:val="005E2098"/>
    <w:rsid w:val="005E2AEE"/>
    <w:rsid w:val="005E3129"/>
    <w:rsid w:val="005E31FD"/>
    <w:rsid w:val="005E331E"/>
    <w:rsid w:val="005E42C2"/>
    <w:rsid w:val="005E4378"/>
    <w:rsid w:val="005E44E9"/>
    <w:rsid w:val="005E4AC1"/>
    <w:rsid w:val="005E55B9"/>
    <w:rsid w:val="005E58A8"/>
    <w:rsid w:val="005E5983"/>
    <w:rsid w:val="005E5B19"/>
    <w:rsid w:val="005E5DD6"/>
    <w:rsid w:val="005E6894"/>
    <w:rsid w:val="005E71A5"/>
    <w:rsid w:val="005E76DD"/>
    <w:rsid w:val="005E772D"/>
    <w:rsid w:val="005E7AB2"/>
    <w:rsid w:val="005E7BEE"/>
    <w:rsid w:val="005E7C17"/>
    <w:rsid w:val="005E7D6A"/>
    <w:rsid w:val="005E7DC7"/>
    <w:rsid w:val="005E7FCD"/>
    <w:rsid w:val="005F009D"/>
    <w:rsid w:val="005F0390"/>
    <w:rsid w:val="005F0407"/>
    <w:rsid w:val="005F099F"/>
    <w:rsid w:val="005F0D83"/>
    <w:rsid w:val="005F1688"/>
    <w:rsid w:val="005F1D6C"/>
    <w:rsid w:val="005F21A0"/>
    <w:rsid w:val="005F2A8D"/>
    <w:rsid w:val="005F2D61"/>
    <w:rsid w:val="005F35C8"/>
    <w:rsid w:val="005F36DC"/>
    <w:rsid w:val="005F3C31"/>
    <w:rsid w:val="005F3FDD"/>
    <w:rsid w:val="005F4757"/>
    <w:rsid w:val="005F47CC"/>
    <w:rsid w:val="005F4A3E"/>
    <w:rsid w:val="005F4F51"/>
    <w:rsid w:val="005F5918"/>
    <w:rsid w:val="005F6349"/>
    <w:rsid w:val="005F642D"/>
    <w:rsid w:val="005F64A7"/>
    <w:rsid w:val="005F7CD5"/>
    <w:rsid w:val="005F7E17"/>
    <w:rsid w:val="00600993"/>
    <w:rsid w:val="00600CA7"/>
    <w:rsid w:val="00601AB2"/>
    <w:rsid w:val="00601B32"/>
    <w:rsid w:val="00601CA4"/>
    <w:rsid w:val="006023F6"/>
    <w:rsid w:val="006027FD"/>
    <w:rsid w:val="00602A0E"/>
    <w:rsid w:val="00602E1C"/>
    <w:rsid w:val="00603F9A"/>
    <w:rsid w:val="006049C4"/>
    <w:rsid w:val="00604B28"/>
    <w:rsid w:val="00604ED5"/>
    <w:rsid w:val="00605068"/>
    <w:rsid w:val="006058D2"/>
    <w:rsid w:val="00605941"/>
    <w:rsid w:val="00605CFA"/>
    <w:rsid w:val="00605E9A"/>
    <w:rsid w:val="00605EE8"/>
    <w:rsid w:val="00606A73"/>
    <w:rsid w:val="00607860"/>
    <w:rsid w:val="0060794A"/>
    <w:rsid w:val="00610553"/>
    <w:rsid w:val="00610DA7"/>
    <w:rsid w:val="006119B1"/>
    <w:rsid w:val="00611FD4"/>
    <w:rsid w:val="0061295B"/>
    <w:rsid w:val="00612CD6"/>
    <w:rsid w:val="00613165"/>
    <w:rsid w:val="006133DD"/>
    <w:rsid w:val="00613473"/>
    <w:rsid w:val="00613ABA"/>
    <w:rsid w:val="00613DE1"/>
    <w:rsid w:val="00613F68"/>
    <w:rsid w:val="00614B3B"/>
    <w:rsid w:val="00615928"/>
    <w:rsid w:val="00616175"/>
    <w:rsid w:val="00616523"/>
    <w:rsid w:val="006166BF"/>
    <w:rsid w:val="006168D4"/>
    <w:rsid w:val="00616920"/>
    <w:rsid w:val="00616C62"/>
    <w:rsid w:val="00616EDB"/>
    <w:rsid w:val="00617496"/>
    <w:rsid w:val="0061756B"/>
    <w:rsid w:val="006175EC"/>
    <w:rsid w:val="00617D81"/>
    <w:rsid w:val="006201A8"/>
    <w:rsid w:val="0062081F"/>
    <w:rsid w:val="00620CAD"/>
    <w:rsid w:val="0062236A"/>
    <w:rsid w:val="006224F5"/>
    <w:rsid w:val="00622646"/>
    <w:rsid w:val="0062316B"/>
    <w:rsid w:val="00623287"/>
    <w:rsid w:val="00623618"/>
    <w:rsid w:val="00623ED1"/>
    <w:rsid w:val="00624094"/>
    <w:rsid w:val="00624B5C"/>
    <w:rsid w:val="00625160"/>
    <w:rsid w:val="006253F2"/>
    <w:rsid w:val="006257EC"/>
    <w:rsid w:val="00625806"/>
    <w:rsid w:val="00625895"/>
    <w:rsid w:val="00625A75"/>
    <w:rsid w:val="00625BBD"/>
    <w:rsid w:val="006264C4"/>
    <w:rsid w:val="00626A1B"/>
    <w:rsid w:val="00626D13"/>
    <w:rsid w:val="00626EB5"/>
    <w:rsid w:val="0062756D"/>
    <w:rsid w:val="00627AE3"/>
    <w:rsid w:val="00627C03"/>
    <w:rsid w:val="00627F9A"/>
    <w:rsid w:val="0063008C"/>
    <w:rsid w:val="00630958"/>
    <w:rsid w:val="0063106B"/>
    <w:rsid w:val="006312C3"/>
    <w:rsid w:val="0063155A"/>
    <w:rsid w:val="0063176C"/>
    <w:rsid w:val="006324C8"/>
    <w:rsid w:val="00632869"/>
    <w:rsid w:val="006329EC"/>
    <w:rsid w:val="00632B75"/>
    <w:rsid w:val="00632F23"/>
    <w:rsid w:val="00633119"/>
    <w:rsid w:val="0063392B"/>
    <w:rsid w:val="00633C0E"/>
    <w:rsid w:val="00634269"/>
    <w:rsid w:val="00634FD0"/>
    <w:rsid w:val="006352B8"/>
    <w:rsid w:val="00635409"/>
    <w:rsid w:val="00635647"/>
    <w:rsid w:val="00635DDF"/>
    <w:rsid w:val="00635FA2"/>
    <w:rsid w:val="00636269"/>
    <w:rsid w:val="006363A8"/>
    <w:rsid w:val="006377D1"/>
    <w:rsid w:val="0063780F"/>
    <w:rsid w:val="00637D9D"/>
    <w:rsid w:val="00640050"/>
    <w:rsid w:val="00640371"/>
    <w:rsid w:val="0064047A"/>
    <w:rsid w:val="0064092A"/>
    <w:rsid w:val="006414DE"/>
    <w:rsid w:val="006415A2"/>
    <w:rsid w:val="00641DC2"/>
    <w:rsid w:val="00641F53"/>
    <w:rsid w:val="0064339E"/>
    <w:rsid w:val="0064352D"/>
    <w:rsid w:val="006435D6"/>
    <w:rsid w:val="00643815"/>
    <w:rsid w:val="00643846"/>
    <w:rsid w:val="00643C5C"/>
    <w:rsid w:val="006440AF"/>
    <w:rsid w:val="00644119"/>
    <w:rsid w:val="00644E80"/>
    <w:rsid w:val="00644F5D"/>
    <w:rsid w:val="006457B3"/>
    <w:rsid w:val="00645B0B"/>
    <w:rsid w:val="00645EB7"/>
    <w:rsid w:val="006462B5"/>
    <w:rsid w:val="006465F7"/>
    <w:rsid w:val="00646961"/>
    <w:rsid w:val="00646C3F"/>
    <w:rsid w:val="00646CAE"/>
    <w:rsid w:val="00647115"/>
    <w:rsid w:val="00647225"/>
    <w:rsid w:val="006473CF"/>
    <w:rsid w:val="0064771B"/>
    <w:rsid w:val="00647D99"/>
    <w:rsid w:val="00647E7A"/>
    <w:rsid w:val="0065014A"/>
    <w:rsid w:val="00650170"/>
    <w:rsid w:val="0065050E"/>
    <w:rsid w:val="00650578"/>
    <w:rsid w:val="00650643"/>
    <w:rsid w:val="006508EC"/>
    <w:rsid w:val="00650984"/>
    <w:rsid w:val="00650ABC"/>
    <w:rsid w:val="00650B43"/>
    <w:rsid w:val="00650BB7"/>
    <w:rsid w:val="00650C74"/>
    <w:rsid w:val="00651211"/>
    <w:rsid w:val="006515EE"/>
    <w:rsid w:val="00651979"/>
    <w:rsid w:val="00652330"/>
    <w:rsid w:val="00652FD2"/>
    <w:rsid w:val="006534C6"/>
    <w:rsid w:val="0065367D"/>
    <w:rsid w:val="0065385D"/>
    <w:rsid w:val="00654028"/>
    <w:rsid w:val="0065438F"/>
    <w:rsid w:val="006550B6"/>
    <w:rsid w:val="006550EB"/>
    <w:rsid w:val="006552CB"/>
    <w:rsid w:val="006555DB"/>
    <w:rsid w:val="0065632F"/>
    <w:rsid w:val="00656929"/>
    <w:rsid w:val="006569EF"/>
    <w:rsid w:val="00657E76"/>
    <w:rsid w:val="00657F9B"/>
    <w:rsid w:val="0066033D"/>
    <w:rsid w:val="006603E7"/>
    <w:rsid w:val="00660BA0"/>
    <w:rsid w:val="006614F7"/>
    <w:rsid w:val="006619FC"/>
    <w:rsid w:val="00661DA0"/>
    <w:rsid w:val="00661F50"/>
    <w:rsid w:val="00661F89"/>
    <w:rsid w:val="006627FC"/>
    <w:rsid w:val="00663370"/>
    <w:rsid w:val="006637AD"/>
    <w:rsid w:val="006639BA"/>
    <w:rsid w:val="00663CD6"/>
    <w:rsid w:val="006646E4"/>
    <w:rsid w:val="00664850"/>
    <w:rsid w:val="00664DF2"/>
    <w:rsid w:val="00666DED"/>
    <w:rsid w:val="006670CA"/>
    <w:rsid w:val="00667659"/>
    <w:rsid w:val="0066798E"/>
    <w:rsid w:val="00667B02"/>
    <w:rsid w:val="006703EB"/>
    <w:rsid w:val="006706D7"/>
    <w:rsid w:val="00670741"/>
    <w:rsid w:val="006707BC"/>
    <w:rsid w:val="00670B4F"/>
    <w:rsid w:val="00670EEC"/>
    <w:rsid w:val="0067137A"/>
    <w:rsid w:val="0067138E"/>
    <w:rsid w:val="0067149C"/>
    <w:rsid w:val="0067204C"/>
    <w:rsid w:val="006726F2"/>
    <w:rsid w:val="0067297A"/>
    <w:rsid w:val="006738AF"/>
    <w:rsid w:val="00673EE9"/>
    <w:rsid w:val="00673FB1"/>
    <w:rsid w:val="00674860"/>
    <w:rsid w:val="00674D11"/>
    <w:rsid w:val="00674DBD"/>
    <w:rsid w:val="006750DB"/>
    <w:rsid w:val="00675359"/>
    <w:rsid w:val="00675B41"/>
    <w:rsid w:val="00675C3C"/>
    <w:rsid w:val="00676328"/>
    <w:rsid w:val="00676C40"/>
    <w:rsid w:val="00676DFE"/>
    <w:rsid w:val="00676FFA"/>
    <w:rsid w:val="00677043"/>
    <w:rsid w:val="006770D7"/>
    <w:rsid w:val="006771CF"/>
    <w:rsid w:val="00677794"/>
    <w:rsid w:val="00680205"/>
    <w:rsid w:val="006802F3"/>
    <w:rsid w:val="00680471"/>
    <w:rsid w:val="00680802"/>
    <w:rsid w:val="00680C3D"/>
    <w:rsid w:val="00681C31"/>
    <w:rsid w:val="006822C1"/>
    <w:rsid w:val="0068234C"/>
    <w:rsid w:val="006823BF"/>
    <w:rsid w:val="00682ED3"/>
    <w:rsid w:val="00682EF8"/>
    <w:rsid w:val="006833F6"/>
    <w:rsid w:val="00683564"/>
    <w:rsid w:val="00683EF2"/>
    <w:rsid w:val="00684353"/>
    <w:rsid w:val="006848E6"/>
    <w:rsid w:val="00684F27"/>
    <w:rsid w:val="006853FB"/>
    <w:rsid w:val="00685AA1"/>
    <w:rsid w:val="00685F21"/>
    <w:rsid w:val="0068600C"/>
    <w:rsid w:val="006869B9"/>
    <w:rsid w:val="00686E18"/>
    <w:rsid w:val="00690BA5"/>
    <w:rsid w:val="0069107D"/>
    <w:rsid w:val="006916DE"/>
    <w:rsid w:val="00691716"/>
    <w:rsid w:val="006918E3"/>
    <w:rsid w:val="0069192B"/>
    <w:rsid w:val="006926A8"/>
    <w:rsid w:val="00692B4F"/>
    <w:rsid w:val="00692B99"/>
    <w:rsid w:val="00693873"/>
    <w:rsid w:val="00693D63"/>
    <w:rsid w:val="00693FDC"/>
    <w:rsid w:val="0069410B"/>
    <w:rsid w:val="00694C27"/>
    <w:rsid w:val="00695103"/>
    <w:rsid w:val="00696530"/>
    <w:rsid w:val="0069662E"/>
    <w:rsid w:val="006968DA"/>
    <w:rsid w:val="00696AA0"/>
    <w:rsid w:val="0069716F"/>
    <w:rsid w:val="006A01C8"/>
    <w:rsid w:val="006A01FE"/>
    <w:rsid w:val="006A04F6"/>
    <w:rsid w:val="006A084E"/>
    <w:rsid w:val="006A0F25"/>
    <w:rsid w:val="006A1288"/>
    <w:rsid w:val="006A1528"/>
    <w:rsid w:val="006A1AA8"/>
    <w:rsid w:val="006A1C1C"/>
    <w:rsid w:val="006A1CC6"/>
    <w:rsid w:val="006A1DDB"/>
    <w:rsid w:val="006A1F91"/>
    <w:rsid w:val="006A2100"/>
    <w:rsid w:val="006A247F"/>
    <w:rsid w:val="006A3118"/>
    <w:rsid w:val="006A34F5"/>
    <w:rsid w:val="006A4AB9"/>
    <w:rsid w:val="006A4D25"/>
    <w:rsid w:val="006A5368"/>
    <w:rsid w:val="006A5D9F"/>
    <w:rsid w:val="006A5EB3"/>
    <w:rsid w:val="006A60FB"/>
    <w:rsid w:val="006A61AA"/>
    <w:rsid w:val="006A621C"/>
    <w:rsid w:val="006A672C"/>
    <w:rsid w:val="006A6803"/>
    <w:rsid w:val="006A69FD"/>
    <w:rsid w:val="006A6C5D"/>
    <w:rsid w:val="006A74BD"/>
    <w:rsid w:val="006A75AF"/>
    <w:rsid w:val="006A775B"/>
    <w:rsid w:val="006A7B82"/>
    <w:rsid w:val="006B0093"/>
    <w:rsid w:val="006B02AF"/>
    <w:rsid w:val="006B0BF1"/>
    <w:rsid w:val="006B1394"/>
    <w:rsid w:val="006B150F"/>
    <w:rsid w:val="006B1AB7"/>
    <w:rsid w:val="006B1B28"/>
    <w:rsid w:val="006B1BE3"/>
    <w:rsid w:val="006B1C1E"/>
    <w:rsid w:val="006B1C46"/>
    <w:rsid w:val="006B1D69"/>
    <w:rsid w:val="006B29B5"/>
    <w:rsid w:val="006B2ABD"/>
    <w:rsid w:val="006B336C"/>
    <w:rsid w:val="006B381F"/>
    <w:rsid w:val="006B3FC2"/>
    <w:rsid w:val="006B403E"/>
    <w:rsid w:val="006B4364"/>
    <w:rsid w:val="006B442B"/>
    <w:rsid w:val="006B46A6"/>
    <w:rsid w:val="006B4C14"/>
    <w:rsid w:val="006B4CCA"/>
    <w:rsid w:val="006B50C7"/>
    <w:rsid w:val="006B527F"/>
    <w:rsid w:val="006B5706"/>
    <w:rsid w:val="006B60EC"/>
    <w:rsid w:val="006B632A"/>
    <w:rsid w:val="006B67B3"/>
    <w:rsid w:val="006B697F"/>
    <w:rsid w:val="006B6BDB"/>
    <w:rsid w:val="006C0EB6"/>
    <w:rsid w:val="006C1948"/>
    <w:rsid w:val="006C1F9B"/>
    <w:rsid w:val="006C23C2"/>
    <w:rsid w:val="006C2CD8"/>
    <w:rsid w:val="006C35C9"/>
    <w:rsid w:val="006C363C"/>
    <w:rsid w:val="006C3ECA"/>
    <w:rsid w:val="006C4012"/>
    <w:rsid w:val="006C4669"/>
    <w:rsid w:val="006C4C0C"/>
    <w:rsid w:val="006C4CB8"/>
    <w:rsid w:val="006C517C"/>
    <w:rsid w:val="006C63C9"/>
    <w:rsid w:val="006C6962"/>
    <w:rsid w:val="006C6D27"/>
    <w:rsid w:val="006C75E2"/>
    <w:rsid w:val="006C76B1"/>
    <w:rsid w:val="006C78D0"/>
    <w:rsid w:val="006C7B7A"/>
    <w:rsid w:val="006D073D"/>
    <w:rsid w:val="006D0A32"/>
    <w:rsid w:val="006D0CCD"/>
    <w:rsid w:val="006D1EA2"/>
    <w:rsid w:val="006D1F53"/>
    <w:rsid w:val="006D2254"/>
    <w:rsid w:val="006D238D"/>
    <w:rsid w:val="006D26DB"/>
    <w:rsid w:val="006D2C4F"/>
    <w:rsid w:val="006D3A6C"/>
    <w:rsid w:val="006D3E09"/>
    <w:rsid w:val="006D400F"/>
    <w:rsid w:val="006D428A"/>
    <w:rsid w:val="006D46AF"/>
    <w:rsid w:val="006D4B2B"/>
    <w:rsid w:val="006D4B91"/>
    <w:rsid w:val="006D58E8"/>
    <w:rsid w:val="006D59B6"/>
    <w:rsid w:val="006D5A0D"/>
    <w:rsid w:val="006D5EB1"/>
    <w:rsid w:val="006D68B4"/>
    <w:rsid w:val="006D6E7A"/>
    <w:rsid w:val="006D7366"/>
    <w:rsid w:val="006D7380"/>
    <w:rsid w:val="006D7544"/>
    <w:rsid w:val="006D7D5C"/>
    <w:rsid w:val="006E010E"/>
    <w:rsid w:val="006E0142"/>
    <w:rsid w:val="006E0209"/>
    <w:rsid w:val="006E0699"/>
    <w:rsid w:val="006E06BB"/>
    <w:rsid w:val="006E0794"/>
    <w:rsid w:val="006E0A06"/>
    <w:rsid w:val="006E0B35"/>
    <w:rsid w:val="006E0CE4"/>
    <w:rsid w:val="006E0FC0"/>
    <w:rsid w:val="006E11C1"/>
    <w:rsid w:val="006E1267"/>
    <w:rsid w:val="006E186D"/>
    <w:rsid w:val="006E1922"/>
    <w:rsid w:val="006E1FAB"/>
    <w:rsid w:val="006E235B"/>
    <w:rsid w:val="006E25EF"/>
    <w:rsid w:val="006E295C"/>
    <w:rsid w:val="006E2D17"/>
    <w:rsid w:val="006E3272"/>
    <w:rsid w:val="006E3709"/>
    <w:rsid w:val="006E3F27"/>
    <w:rsid w:val="006E44E8"/>
    <w:rsid w:val="006E4D89"/>
    <w:rsid w:val="006E4E60"/>
    <w:rsid w:val="006E536C"/>
    <w:rsid w:val="006E53F1"/>
    <w:rsid w:val="006E59D9"/>
    <w:rsid w:val="006E5B75"/>
    <w:rsid w:val="006E6087"/>
    <w:rsid w:val="006E710A"/>
    <w:rsid w:val="006E71FB"/>
    <w:rsid w:val="006E7D1A"/>
    <w:rsid w:val="006E7DDF"/>
    <w:rsid w:val="006F0337"/>
    <w:rsid w:val="006F0DA1"/>
    <w:rsid w:val="006F1158"/>
    <w:rsid w:val="006F1987"/>
    <w:rsid w:val="006F19B1"/>
    <w:rsid w:val="006F2270"/>
    <w:rsid w:val="006F236D"/>
    <w:rsid w:val="006F26DB"/>
    <w:rsid w:val="006F3DE4"/>
    <w:rsid w:val="006F3DED"/>
    <w:rsid w:val="006F416C"/>
    <w:rsid w:val="006F456D"/>
    <w:rsid w:val="006F4957"/>
    <w:rsid w:val="006F538A"/>
    <w:rsid w:val="006F55EB"/>
    <w:rsid w:val="006F5948"/>
    <w:rsid w:val="006F59D6"/>
    <w:rsid w:val="006F5AB5"/>
    <w:rsid w:val="006F61B6"/>
    <w:rsid w:val="006F66B2"/>
    <w:rsid w:val="006F680B"/>
    <w:rsid w:val="006F6859"/>
    <w:rsid w:val="006F6E0C"/>
    <w:rsid w:val="006F746A"/>
    <w:rsid w:val="006F7D66"/>
    <w:rsid w:val="007004E9"/>
    <w:rsid w:val="00700785"/>
    <w:rsid w:val="00700C38"/>
    <w:rsid w:val="00700E79"/>
    <w:rsid w:val="00701286"/>
    <w:rsid w:val="00701F9F"/>
    <w:rsid w:val="007024A0"/>
    <w:rsid w:val="007034C5"/>
    <w:rsid w:val="007041AA"/>
    <w:rsid w:val="007041D5"/>
    <w:rsid w:val="00704297"/>
    <w:rsid w:val="00705100"/>
    <w:rsid w:val="00705880"/>
    <w:rsid w:val="00706037"/>
    <w:rsid w:val="007064BB"/>
    <w:rsid w:val="007075C8"/>
    <w:rsid w:val="00707AD6"/>
    <w:rsid w:val="00707C1A"/>
    <w:rsid w:val="00707CEA"/>
    <w:rsid w:val="00707F03"/>
    <w:rsid w:val="00710053"/>
    <w:rsid w:val="00710DF9"/>
    <w:rsid w:val="007111B8"/>
    <w:rsid w:val="00711949"/>
    <w:rsid w:val="00711CBE"/>
    <w:rsid w:val="00711CE5"/>
    <w:rsid w:val="00711E55"/>
    <w:rsid w:val="00711F1E"/>
    <w:rsid w:val="007122CA"/>
    <w:rsid w:val="007125BF"/>
    <w:rsid w:val="007125DE"/>
    <w:rsid w:val="00712698"/>
    <w:rsid w:val="007126C7"/>
    <w:rsid w:val="007127C8"/>
    <w:rsid w:val="00712B77"/>
    <w:rsid w:val="00712F9C"/>
    <w:rsid w:val="00713288"/>
    <w:rsid w:val="00714300"/>
    <w:rsid w:val="007144A7"/>
    <w:rsid w:val="00714773"/>
    <w:rsid w:val="00714854"/>
    <w:rsid w:val="0071491B"/>
    <w:rsid w:val="00714E95"/>
    <w:rsid w:val="00714EE8"/>
    <w:rsid w:val="007154E4"/>
    <w:rsid w:val="00715B58"/>
    <w:rsid w:val="00715D2D"/>
    <w:rsid w:val="00715E41"/>
    <w:rsid w:val="0071600E"/>
    <w:rsid w:val="00716109"/>
    <w:rsid w:val="00716F96"/>
    <w:rsid w:val="00717700"/>
    <w:rsid w:val="007178F0"/>
    <w:rsid w:val="00717A37"/>
    <w:rsid w:val="00717BC1"/>
    <w:rsid w:val="0072019F"/>
    <w:rsid w:val="007211D3"/>
    <w:rsid w:val="0072187F"/>
    <w:rsid w:val="00721CE4"/>
    <w:rsid w:val="00722528"/>
    <w:rsid w:val="007229C6"/>
    <w:rsid w:val="00722A4C"/>
    <w:rsid w:val="00723408"/>
    <w:rsid w:val="007234E6"/>
    <w:rsid w:val="0072383E"/>
    <w:rsid w:val="0072392B"/>
    <w:rsid w:val="0072398B"/>
    <w:rsid w:val="00723CD1"/>
    <w:rsid w:val="0072418C"/>
    <w:rsid w:val="0072426A"/>
    <w:rsid w:val="0072450E"/>
    <w:rsid w:val="00725058"/>
    <w:rsid w:val="007250E1"/>
    <w:rsid w:val="0072531F"/>
    <w:rsid w:val="0072553C"/>
    <w:rsid w:val="00725866"/>
    <w:rsid w:val="00725A2D"/>
    <w:rsid w:val="00725FDC"/>
    <w:rsid w:val="00726A3B"/>
    <w:rsid w:val="007304F8"/>
    <w:rsid w:val="00730545"/>
    <w:rsid w:val="0073062C"/>
    <w:rsid w:val="00730776"/>
    <w:rsid w:val="00730BF5"/>
    <w:rsid w:val="00730F95"/>
    <w:rsid w:val="007315B2"/>
    <w:rsid w:val="007318E8"/>
    <w:rsid w:val="00731A07"/>
    <w:rsid w:val="0073214F"/>
    <w:rsid w:val="0073240A"/>
    <w:rsid w:val="007328C9"/>
    <w:rsid w:val="00732B76"/>
    <w:rsid w:val="0073310B"/>
    <w:rsid w:val="00733226"/>
    <w:rsid w:val="007334ED"/>
    <w:rsid w:val="00733CF9"/>
    <w:rsid w:val="00733DD8"/>
    <w:rsid w:val="00733FA2"/>
    <w:rsid w:val="00734153"/>
    <w:rsid w:val="00734478"/>
    <w:rsid w:val="00734593"/>
    <w:rsid w:val="00734CAE"/>
    <w:rsid w:val="00734E7D"/>
    <w:rsid w:val="00735119"/>
    <w:rsid w:val="00735262"/>
    <w:rsid w:val="0073540E"/>
    <w:rsid w:val="00735BAF"/>
    <w:rsid w:val="00735F7A"/>
    <w:rsid w:val="0073670E"/>
    <w:rsid w:val="007369DC"/>
    <w:rsid w:val="00736C4D"/>
    <w:rsid w:val="00736CF3"/>
    <w:rsid w:val="00736F71"/>
    <w:rsid w:val="00737179"/>
    <w:rsid w:val="00737378"/>
    <w:rsid w:val="00737FD1"/>
    <w:rsid w:val="0074004A"/>
    <w:rsid w:val="007401C8"/>
    <w:rsid w:val="00741316"/>
    <w:rsid w:val="007419F6"/>
    <w:rsid w:val="0074291D"/>
    <w:rsid w:val="00742E1E"/>
    <w:rsid w:val="007433B6"/>
    <w:rsid w:val="00743BE2"/>
    <w:rsid w:val="0074472A"/>
    <w:rsid w:val="00744746"/>
    <w:rsid w:val="00744E20"/>
    <w:rsid w:val="007450D9"/>
    <w:rsid w:val="00745863"/>
    <w:rsid w:val="00745CAA"/>
    <w:rsid w:val="00746055"/>
    <w:rsid w:val="00746284"/>
    <w:rsid w:val="00746DDB"/>
    <w:rsid w:val="0074732F"/>
    <w:rsid w:val="0074758B"/>
    <w:rsid w:val="0074760E"/>
    <w:rsid w:val="007478E9"/>
    <w:rsid w:val="007503CF"/>
    <w:rsid w:val="007508AA"/>
    <w:rsid w:val="007508FB"/>
    <w:rsid w:val="00750A99"/>
    <w:rsid w:val="00750B57"/>
    <w:rsid w:val="00751030"/>
    <w:rsid w:val="0075118F"/>
    <w:rsid w:val="0075157B"/>
    <w:rsid w:val="007517F4"/>
    <w:rsid w:val="00751901"/>
    <w:rsid w:val="007519B8"/>
    <w:rsid w:val="007519CD"/>
    <w:rsid w:val="007520C7"/>
    <w:rsid w:val="007526F6"/>
    <w:rsid w:val="00752775"/>
    <w:rsid w:val="00752CE9"/>
    <w:rsid w:val="00753352"/>
    <w:rsid w:val="00753B99"/>
    <w:rsid w:val="007545F4"/>
    <w:rsid w:val="00755008"/>
    <w:rsid w:val="007551A1"/>
    <w:rsid w:val="00755C7C"/>
    <w:rsid w:val="00755FAF"/>
    <w:rsid w:val="007561F7"/>
    <w:rsid w:val="007562A5"/>
    <w:rsid w:val="00756863"/>
    <w:rsid w:val="00756D34"/>
    <w:rsid w:val="00757B36"/>
    <w:rsid w:val="0076026F"/>
    <w:rsid w:val="0076068C"/>
    <w:rsid w:val="007607FB"/>
    <w:rsid w:val="00760E6E"/>
    <w:rsid w:val="0076124B"/>
    <w:rsid w:val="00761A56"/>
    <w:rsid w:val="007623ED"/>
    <w:rsid w:val="007631F0"/>
    <w:rsid w:val="00763EA9"/>
    <w:rsid w:val="0076400A"/>
    <w:rsid w:val="007644A0"/>
    <w:rsid w:val="007648C6"/>
    <w:rsid w:val="00764E5D"/>
    <w:rsid w:val="007650F8"/>
    <w:rsid w:val="0076555F"/>
    <w:rsid w:val="00765D74"/>
    <w:rsid w:val="007664A4"/>
    <w:rsid w:val="00766C2D"/>
    <w:rsid w:val="00766E8B"/>
    <w:rsid w:val="00767557"/>
    <w:rsid w:val="00767975"/>
    <w:rsid w:val="00767D00"/>
    <w:rsid w:val="00767ED0"/>
    <w:rsid w:val="00767F69"/>
    <w:rsid w:val="00770812"/>
    <w:rsid w:val="00770B09"/>
    <w:rsid w:val="00772046"/>
    <w:rsid w:val="00772049"/>
    <w:rsid w:val="007721DD"/>
    <w:rsid w:val="007722BC"/>
    <w:rsid w:val="00772315"/>
    <w:rsid w:val="007733BC"/>
    <w:rsid w:val="007736B9"/>
    <w:rsid w:val="00775114"/>
    <w:rsid w:val="00775191"/>
    <w:rsid w:val="007769E3"/>
    <w:rsid w:val="00776BF2"/>
    <w:rsid w:val="00776C62"/>
    <w:rsid w:val="007770D8"/>
    <w:rsid w:val="00777231"/>
    <w:rsid w:val="0077727F"/>
    <w:rsid w:val="0077760D"/>
    <w:rsid w:val="00777B07"/>
    <w:rsid w:val="00777BB3"/>
    <w:rsid w:val="00777C5E"/>
    <w:rsid w:val="00780467"/>
    <w:rsid w:val="007805A1"/>
    <w:rsid w:val="00780FE2"/>
    <w:rsid w:val="0078134B"/>
    <w:rsid w:val="0078156C"/>
    <w:rsid w:val="00781AFF"/>
    <w:rsid w:val="0078212F"/>
    <w:rsid w:val="00782829"/>
    <w:rsid w:val="00782967"/>
    <w:rsid w:val="00783EB7"/>
    <w:rsid w:val="00784801"/>
    <w:rsid w:val="00784EDA"/>
    <w:rsid w:val="007857E6"/>
    <w:rsid w:val="007859EB"/>
    <w:rsid w:val="00785AD4"/>
    <w:rsid w:val="00785B6C"/>
    <w:rsid w:val="00785BAC"/>
    <w:rsid w:val="00785DE7"/>
    <w:rsid w:val="007860BA"/>
    <w:rsid w:val="00786113"/>
    <w:rsid w:val="00787054"/>
    <w:rsid w:val="00787488"/>
    <w:rsid w:val="0078794F"/>
    <w:rsid w:val="00787E82"/>
    <w:rsid w:val="007904CE"/>
    <w:rsid w:val="00790DBE"/>
    <w:rsid w:val="00790F0E"/>
    <w:rsid w:val="00790FE3"/>
    <w:rsid w:val="00791103"/>
    <w:rsid w:val="007914D6"/>
    <w:rsid w:val="00791508"/>
    <w:rsid w:val="00791566"/>
    <w:rsid w:val="00792110"/>
    <w:rsid w:val="00792D1C"/>
    <w:rsid w:val="00793C1B"/>
    <w:rsid w:val="00793D13"/>
    <w:rsid w:val="00793F0B"/>
    <w:rsid w:val="007940FC"/>
    <w:rsid w:val="00794109"/>
    <w:rsid w:val="00794374"/>
    <w:rsid w:val="00794AFB"/>
    <w:rsid w:val="00794B9E"/>
    <w:rsid w:val="00794C19"/>
    <w:rsid w:val="00796008"/>
    <w:rsid w:val="007961DD"/>
    <w:rsid w:val="007964EA"/>
    <w:rsid w:val="00797CF0"/>
    <w:rsid w:val="00797EE0"/>
    <w:rsid w:val="007A078F"/>
    <w:rsid w:val="007A09E3"/>
    <w:rsid w:val="007A0B08"/>
    <w:rsid w:val="007A14A8"/>
    <w:rsid w:val="007A1DB6"/>
    <w:rsid w:val="007A24AD"/>
    <w:rsid w:val="007A2A67"/>
    <w:rsid w:val="007A2B1D"/>
    <w:rsid w:val="007A3387"/>
    <w:rsid w:val="007A33A7"/>
    <w:rsid w:val="007A33AA"/>
    <w:rsid w:val="007A3899"/>
    <w:rsid w:val="007A414B"/>
    <w:rsid w:val="007A4385"/>
    <w:rsid w:val="007A44F1"/>
    <w:rsid w:val="007A46BE"/>
    <w:rsid w:val="007A4EF8"/>
    <w:rsid w:val="007A549E"/>
    <w:rsid w:val="007A56C8"/>
    <w:rsid w:val="007A5CED"/>
    <w:rsid w:val="007A65D8"/>
    <w:rsid w:val="007A65F8"/>
    <w:rsid w:val="007A6807"/>
    <w:rsid w:val="007A7475"/>
    <w:rsid w:val="007B0086"/>
    <w:rsid w:val="007B030B"/>
    <w:rsid w:val="007B0318"/>
    <w:rsid w:val="007B0690"/>
    <w:rsid w:val="007B06CE"/>
    <w:rsid w:val="007B23BC"/>
    <w:rsid w:val="007B2880"/>
    <w:rsid w:val="007B2883"/>
    <w:rsid w:val="007B28BC"/>
    <w:rsid w:val="007B2C59"/>
    <w:rsid w:val="007B3356"/>
    <w:rsid w:val="007B3C2A"/>
    <w:rsid w:val="007B43CF"/>
    <w:rsid w:val="007B447F"/>
    <w:rsid w:val="007B4E36"/>
    <w:rsid w:val="007B5065"/>
    <w:rsid w:val="007B57DA"/>
    <w:rsid w:val="007B595F"/>
    <w:rsid w:val="007B5E73"/>
    <w:rsid w:val="007B6766"/>
    <w:rsid w:val="007B69CB"/>
    <w:rsid w:val="007B6B42"/>
    <w:rsid w:val="007B769D"/>
    <w:rsid w:val="007B782D"/>
    <w:rsid w:val="007B7977"/>
    <w:rsid w:val="007C041C"/>
    <w:rsid w:val="007C048A"/>
    <w:rsid w:val="007C124E"/>
    <w:rsid w:val="007C17B8"/>
    <w:rsid w:val="007C1A3A"/>
    <w:rsid w:val="007C1D19"/>
    <w:rsid w:val="007C21CF"/>
    <w:rsid w:val="007C29EC"/>
    <w:rsid w:val="007C3228"/>
    <w:rsid w:val="007C33D8"/>
    <w:rsid w:val="007C3CFA"/>
    <w:rsid w:val="007C421D"/>
    <w:rsid w:val="007C43D3"/>
    <w:rsid w:val="007C4640"/>
    <w:rsid w:val="007C4727"/>
    <w:rsid w:val="007C5193"/>
    <w:rsid w:val="007C528E"/>
    <w:rsid w:val="007C5A51"/>
    <w:rsid w:val="007C5B76"/>
    <w:rsid w:val="007C5F5A"/>
    <w:rsid w:val="007C62B5"/>
    <w:rsid w:val="007C67AC"/>
    <w:rsid w:val="007C6EBD"/>
    <w:rsid w:val="007C7160"/>
    <w:rsid w:val="007C76DB"/>
    <w:rsid w:val="007D0861"/>
    <w:rsid w:val="007D0A2B"/>
    <w:rsid w:val="007D0B68"/>
    <w:rsid w:val="007D0D03"/>
    <w:rsid w:val="007D1053"/>
    <w:rsid w:val="007D10C8"/>
    <w:rsid w:val="007D1372"/>
    <w:rsid w:val="007D13B1"/>
    <w:rsid w:val="007D264B"/>
    <w:rsid w:val="007D2C53"/>
    <w:rsid w:val="007D2D16"/>
    <w:rsid w:val="007D2E92"/>
    <w:rsid w:val="007D319C"/>
    <w:rsid w:val="007D381E"/>
    <w:rsid w:val="007D3915"/>
    <w:rsid w:val="007D3B10"/>
    <w:rsid w:val="007D3BAC"/>
    <w:rsid w:val="007D3DEA"/>
    <w:rsid w:val="007D3E78"/>
    <w:rsid w:val="007D45FF"/>
    <w:rsid w:val="007D4D34"/>
    <w:rsid w:val="007D4F77"/>
    <w:rsid w:val="007D4FED"/>
    <w:rsid w:val="007D5339"/>
    <w:rsid w:val="007D5522"/>
    <w:rsid w:val="007D5866"/>
    <w:rsid w:val="007D5883"/>
    <w:rsid w:val="007D5A8C"/>
    <w:rsid w:val="007D5DEE"/>
    <w:rsid w:val="007D60E3"/>
    <w:rsid w:val="007D664A"/>
    <w:rsid w:val="007D6690"/>
    <w:rsid w:val="007D69BC"/>
    <w:rsid w:val="007D6BA1"/>
    <w:rsid w:val="007D796C"/>
    <w:rsid w:val="007E0304"/>
    <w:rsid w:val="007E08EB"/>
    <w:rsid w:val="007E0919"/>
    <w:rsid w:val="007E0BC3"/>
    <w:rsid w:val="007E0DA8"/>
    <w:rsid w:val="007E11AE"/>
    <w:rsid w:val="007E13FA"/>
    <w:rsid w:val="007E1BB6"/>
    <w:rsid w:val="007E2249"/>
    <w:rsid w:val="007E228C"/>
    <w:rsid w:val="007E2654"/>
    <w:rsid w:val="007E29B9"/>
    <w:rsid w:val="007E2D45"/>
    <w:rsid w:val="007E2FC1"/>
    <w:rsid w:val="007E32C2"/>
    <w:rsid w:val="007E3D96"/>
    <w:rsid w:val="007E40F8"/>
    <w:rsid w:val="007E419F"/>
    <w:rsid w:val="007E45E0"/>
    <w:rsid w:val="007E5298"/>
    <w:rsid w:val="007E6678"/>
    <w:rsid w:val="007E6A45"/>
    <w:rsid w:val="007E7079"/>
    <w:rsid w:val="007E7171"/>
    <w:rsid w:val="007F0C0A"/>
    <w:rsid w:val="007F0D33"/>
    <w:rsid w:val="007F12DB"/>
    <w:rsid w:val="007F15A1"/>
    <w:rsid w:val="007F1C72"/>
    <w:rsid w:val="007F2339"/>
    <w:rsid w:val="007F24B1"/>
    <w:rsid w:val="007F2A7D"/>
    <w:rsid w:val="007F2AF3"/>
    <w:rsid w:val="007F34FA"/>
    <w:rsid w:val="007F3580"/>
    <w:rsid w:val="007F36D1"/>
    <w:rsid w:val="007F3963"/>
    <w:rsid w:val="007F3A72"/>
    <w:rsid w:val="007F3CF3"/>
    <w:rsid w:val="007F4CC8"/>
    <w:rsid w:val="007F4EA0"/>
    <w:rsid w:val="007F5533"/>
    <w:rsid w:val="007F556B"/>
    <w:rsid w:val="007F630D"/>
    <w:rsid w:val="007F7287"/>
    <w:rsid w:val="007F733C"/>
    <w:rsid w:val="00800058"/>
    <w:rsid w:val="00800B9A"/>
    <w:rsid w:val="008012B1"/>
    <w:rsid w:val="00801B19"/>
    <w:rsid w:val="00801EA9"/>
    <w:rsid w:val="008027F2"/>
    <w:rsid w:val="00802C50"/>
    <w:rsid w:val="008031B8"/>
    <w:rsid w:val="008040E2"/>
    <w:rsid w:val="008047DB"/>
    <w:rsid w:val="00804840"/>
    <w:rsid w:val="00804903"/>
    <w:rsid w:val="00804A78"/>
    <w:rsid w:val="00804ACD"/>
    <w:rsid w:val="00804E78"/>
    <w:rsid w:val="00805C5A"/>
    <w:rsid w:val="008063AB"/>
    <w:rsid w:val="00806789"/>
    <w:rsid w:val="008068D2"/>
    <w:rsid w:val="00806996"/>
    <w:rsid w:val="00806FCB"/>
    <w:rsid w:val="00807B6A"/>
    <w:rsid w:val="00807BE3"/>
    <w:rsid w:val="00807F32"/>
    <w:rsid w:val="008100D3"/>
    <w:rsid w:val="00810497"/>
    <w:rsid w:val="0081165F"/>
    <w:rsid w:val="00811BA6"/>
    <w:rsid w:val="00812367"/>
    <w:rsid w:val="0081258C"/>
    <w:rsid w:val="00812DC8"/>
    <w:rsid w:val="00812E6F"/>
    <w:rsid w:val="00813345"/>
    <w:rsid w:val="0081375F"/>
    <w:rsid w:val="00813993"/>
    <w:rsid w:val="00813E63"/>
    <w:rsid w:val="00814089"/>
    <w:rsid w:val="008149A6"/>
    <w:rsid w:val="008153EB"/>
    <w:rsid w:val="00815592"/>
    <w:rsid w:val="00816086"/>
    <w:rsid w:val="00816E7D"/>
    <w:rsid w:val="00816ED4"/>
    <w:rsid w:val="00817465"/>
    <w:rsid w:val="0081751E"/>
    <w:rsid w:val="00817B62"/>
    <w:rsid w:val="00817E69"/>
    <w:rsid w:val="00820296"/>
    <w:rsid w:val="00820450"/>
    <w:rsid w:val="00820735"/>
    <w:rsid w:val="008207E2"/>
    <w:rsid w:val="00820FB7"/>
    <w:rsid w:val="00821695"/>
    <w:rsid w:val="00821947"/>
    <w:rsid w:val="00821BF3"/>
    <w:rsid w:val="00821BFB"/>
    <w:rsid w:val="00821F51"/>
    <w:rsid w:val="0082274A"/>
    <w:rsid w:val="00822895"/>
    <w:rsid w:val="0082299D"/>
    <w:rsid w:val="00822B40"/>
    <w:rsid w:val="00822E9B"/>
    <w:rsid w:val="00823A03"/>
    <w:rsid w:val="00824548"/>
    <w:rsid w:val="00824C65"/>
    <w:rsid w:val="00824E38"/>
    <w:rsid w:val="00825126"/>
    <w:rsid w:val="008254D2"/>
    <w:rsid w:val="00825AB9"/>
    <w:rsid w:val="00825E05"/>
    <w:rsid w:val="00826241"/>
    <w:rsid w:val="00826505"/>
    <w:rsid w:val="008269BE"/>
    <w:rsid w:val="00826C44"/>
    <w:rsid w:val="00826CEC"/>
    <w:rsid w:val="00826FC6"/>
    <w:rsid w:val="00827C85"/>
    <w:rsid w:val="0083024F"/>
    <w:rsid w:val="00831142"/>
    <w:rsid w:val="00831A70"/>
    <w:rsid w:val="00831A95"/>
    <w:rsid w:val="0083204D"/>
    <w:rsid w:val="00832082"/>
    <w:rsid w:val="008320A5"/>
    <w:rsid w:val="008323F0"/>
    <w:rsid w:val="008328E3"/>
    <w:rsid w:val="008329A1"/>
    <w:rsid w:val="00832E6E"/>
    <w:rsid w:val="008331F6"/>
    <w:rsid w:val="00833543"/>
    <w:rsid w:val="00833592"/>
    <w:rsid w:val="00833BCC"/>
    <w:rsid w:val="00834103"/>
    <w:rsid w:val="008344B4"/>
    <w:rsid w:val="00834CA0"/>
    <w:rsid w:val="008358FB"/>
    <w:rsid w:val="00835C0F"/>
    <w:rsid w:val="00835D44"/>
    <w:rsid w:val="008364DF"/>
    <w:rsid w:val="00836B38"/>
    <w:rsid w:val="00837571"/>
    <w:rsid w:val="008377FE"/>
    <w:rsid w:val="00837AA8"/>
    <w:rsid w:val="00840200"/>
    <w:rsid w:val="00840264"/>
    <w:rsid w:val="0084030E"/>
    <w:rsid w:val="00841250"/>
    <w:rsid w:val="008412E9"/>
    <w:rsid w:val="00841CDA"/>
    <w:rsid w:val="00841D5A"/>
    <w:rsid w:val="00843152"/>
    <w:rsid w:val="0084325B"/>
    <w:rsid w:val="008433AA"/>
    <w:rsid w:val="0084364D"/>
    <w:rsid w:val="00843823"/>
    <w:rsid w:val="00844813"/>
    <w:rsid w:val="00844945"/>
    <w:rsid w:val="0084534A"/>
    <w:rsid w:val="0084555A"/>
    <w:rsid w:val="008457D9"/>
    <w:rsid w:val="008459F3"/>
    <w:rsid w:val="00845D34"/>
    <w:rsid w:val="00845FD2"/>
    <w:rsid w:val="0084623D"/>
    <w:rsid w:val="008463FE"/>
    <w:rsid w:val="00846497"/>
    <w:rsid w:val="00847221"/>
    <w:rsid w:val="008474B3"/>
    <w:rsid w:val="0085004D"/>
    <w:rsid w:val="00850187"/>
    <w:rsid w:val="008509FD"/>
    <w:rsid w:val="00851D0B"/>
    <w:rsid w:val="00851D4D"/>
    <w:rsid w:val="00851E0E"/>
    <w:rsid w:val="00852D30"/>
    <w:rsid w:val="008536B2"/>
    <w:rsid w:val="008536C4"/>
    <w:rsid w:val="00853A5B"/>
    <w:rsid w:val="0085422C"/>
    <w:rsid w:val="0085468C"/>
    <w:rsid w:val="0085481E"/>
    <w:rsid w:val="00854A34"/>
    <w:rsid w:val="008551C2"/>
    <w:rsid w:val="008554F8"/>
    <w:rsid w:val="008555EE"/>
    <w:rsid w:val="00855919"/>
    <w:rsid w:val="008559C7"/>
    <w:rsid w:val="00855A3B"/>
    <w:rsid w:val="00855BCE"/>
    <w:rsid w:val="00855C80"/>
    <w:rsid w:val="00855FCB"/>
    <w:rsid w:val="0085612F"/>
    <w:rsid w:val="00856132"/>
    <w:rsid w:val="008561B9"/>
    <w:rsid w:val="0085736A"/>
    <w:rsid w:val="00857569"/>
    <w:rsid w:val="00857601"/>
    <w:rsid w:val="008600D1"/>
    <w:rsid w:val="00860F74"/>
    <w:rsid w:val="00861477"/>
    <w:rsid w:val="00861484"/>
    <w:rsid w:val="0086151B"/>
    <w:rsid w:val="008615F4"/>
    <w:rsid w:val="00861A5A"/>
    <w:rsid w:val="00861F56"/>
    <w:rsid w:val="008624E7"/>
    <w:rsid w:val="0086261D"/>
    <w:rsid w:val="00862B83"/>
    <w:rsid w:val="008638BD"/>
    <w:rsid w:val="00863A1B"/>
    <w:rsid w:val="00863B50"/>
    <w:rsid w:val="00863E73"/>
    <w:rsid w:val="00864589"/>
    <w:rsid w:val="00864A4F"/>
    <w:rsid w:val="00864BA9"/>
    <w:rsid w:val="00864BD7"/>
    <w:rsid w:val="00864D2A"/>
    <w:rsid w:val="00864E7E"/>
    <w:rsid w:val="00864FA6"/>
    <w:rsid w:val="008651A4"/>
    <w:rsid w:val="008651F4"/>
    <w:rsid w:val="00865346"/>
    <w:rsid w:val="00865820"/>
    <w:rsid w:val="0086586D"/>
    <w:rsid w:val="008659AF"/>
    <w:rsid w:val="00865DE5"/>
    <w:rsid w:val="00866121"/>
    <w:rsid w:val="00866FBD"/>
    <w:rsid w:val="00867231"/>
    <w:rsid w:val="008672FA"/>
    <w:rsid w:val="00867455"/>
    <w:rsid w:val="008678D5"/>
    <w:rsid w:val="008679DD"/>
    <w:rsid w:val="00867DB8"/>
    <w:rsid w:val="00867F56"/>
    <w:rsid w:val="00867FE4"/>
    <w:rsid w:val="008704C7"/>
    <w:rsid w:val="00871098"/>
    <w:rsid w:val="00871AE9"/>
    <w:rsid w:val="00871EC8"/>
    <w:rsid w:val="00872538"/>
    <w:rsid w:val="008725CF"/>
    <w:rsid w:val="008725FF"/>
    <w:rsid w:val="00874359"/>
    <w:rsid w:val="00874792"/>
    <w:rsid w:val="00874E31"/>
    <w:rsid w:val="00874FE5"/>
    <w:rsid w:val="00875794"/>
    <w:rsid w:val="00875B2B"/>
    <w:rsid w:val="00876664"/>
    <w:rsid w:val="008771B5"/>
    <w:rsid w:val="00877BA6"/>
    <w:rsid w:val="00877BAE"/>
    <w:rsid w:val="00880138"/>
    <w:rsid w:val="0088043B"/>
    <w:rsid w:val="008804C2"/>
    <w:rsid w:val="0088055A"/>
    <w:rsid w:val="00880A41"/>
    <w:rsid w:val="00881053"/>
    <w:rsid w:val="008811FB"/>
    <w:rsid w:val="00881C0C"/>
    <w:rsid w:val="008826C1"/>
    <w:rsid w:val="00882E53"/>
    <w:rsid w:val="00882EE6"/>
    <w:rsid w:val="00883DBF"/>
    <w:rsid w:val="00883FE7"/>
    <w:rsid w:val="008851D1"/>
    <w:rsid w:val="00885C54"/>
    <w:rsid w:val="00885E34"/>
    <w:rsid w:val="00886290"/>
    <w:rsid w:val="0089038A"/>
    <w:rsid w:val="00890728"/>
    <w:rsid w:val="00890CF0"/>
    <w:rsid w:val="00891038"/>
    <w:rsid w:val="008915D4"/>
    <w:rsid w:val="008917DD"/>
    <w:rsid w:val="008920EE"/>
    <w:rsid w:val="00892A1D"/>
    <w:rsid w:val="00892A1E"/>
    <w:rsid w:val="00892EC8"/>
    <w:rsid w:val="008932A9"/>
    <w:rsid w:val="00893598"/>
    <w:rsid w:val="008935CE"/>
    <w:rsid w:val="008937C3"/>
    <w:rsid w:val="00893854"/>
    <w:rsid w:val="008938CB"/>
    <w:rsid w:val="00893BE4"/>
    <w:rsid w:val="00893C70"/>
    <w:rsid w:val="008956C9"/>
    <w:rsid w:val="0089599A"/>
    <w:rsid w:val="0089633F"/>
    <w:rsid w:val="00896874"/>
    <w:rsid w:val="0089693B"/>
    <w:rsid w:val="00896E48"/>
    <w:rsid w:val="00897195"/>
    <w:rsid w:val="00897384"/>
    <w:rsid w:val="008974BD"/>
    <w:rsid w:val="008974DC"/>
    <w:rsid w:val="008977F7"/>
    <w:rsid w:val="00897973"/>
    <w:rsid w:val="00897A35"/>
    <w:rsid w:val="008A084F"/>
    <w:rsid w:val="008A0A94"/>
    <w:rsid w:val="008A14DC"/>
    <w:rsid w:val="008A1894"/>
    <w:rsid w:val="008A1A2E"/>
    <w:rsid w:val="008A1E6B"/>
    <w:rsid w:val="008A20B1"/>
    <w:rsid w:val="008A23EB"/>
    <w:rsid w:val="008A2495"/>
    <w:rsid w:val="008A2B01"/>
    <w:rsid w:val="008A2BD7"/>
    <w:rsid w:val="008A348D"/>
    <w:rsid w:val="008A34F7"/>
    <w:rsid w:val="008A3D76"/>
    <w:rsid w:val="008A3EB9"/>
    <w:rsid w:val="008A3EE6"/>
    <w:rsid w:val="008A3FD0"/>
    <w:rsid w:val="008A42A3"/>
    <w:rsid w:val="008A460A"/>
    <w:rsid w:val="008A597D"/>
    <w:rsid w:val="008A5997"/>
    <w:rsid w:val="008A5AD1"/>
    <w:rsid w:val="008A5C32"/>
    <w:rsid w:val="008A608E"/>
    <w:rsid w:val="008A6466"/>
    <w:rsid w:val="008A6644"/>
    <w:rsid w:val="008A7341"/>
    <w:rsid w:val="008A7A47"/>
    <w:rsid w:val="008A7AC8"/>
    <w:rsid w:val="008B000A"/>
    <w:rsid w:val="008B0037"/>
    <w:rsid w:val="008B06C1"/>
    <w:rsid w:val="008B07F3"/>
    <w:rsid w:val="008B0F01"/>
    <w:rsid w:val="008B0F82"/>
    <w:rsid w:val="008B1494"/>
    <w:rsid w:val="008B190A"/>
    <w:rsid w:val="008B1CE4"/>
    <w:rsid w:val="008B1CF9"/>
    <w:rsid w:val="008B2483"/>
    <w:rsid w:val="008B267E"/>
    <w:rsid w:val="008B2B0A"/>
    <w:rsid w:val="008B2CAF"/>
    <w:rsid w:val="008B3040"/>
    <w:rsid w:val="008B32CA"/>
    <w:rsid w:val="008B33C6"/>
    <w:rsid w:val="008B4260"/>
    <w:rsid w:val="008B43FA"/>
    <w:rsid w:val="008B4A65"/>
    <w:rsid w:val="008B4BB9"/>
    <w:rsid w:val="008B4DB3"/>
    <w:rsid w:val="008B5169"/>
    <w:rsid w:val="008B5ACB"/>
    <w:rsid w:val="008B5CCF"/>
    <w:rsid w:val="008B5DCB"/>
    <w:rsid w:val="008B61E4"/>
    <w:rsid w:val="008B6B27"/>
    <w:rsid w:val="008B75E3"/>
    <w:rsid w:val="008B7607"/>
    <w:rsid w:val="008B7A18"/>
    <w:rsid w:val="008B7D56"/>
    <w:rsid w:val="008C0194"/>
    <w:rsid w:val="008C06E0"/>
    <w:rsid w:val="008C0755"/>
    <w:rsid w:val="008C09D4"/>
    <w:rsid w:val="008C0FC1"/>
    <w:rsid w:val="008C161A"/>
    <w:rsid w:val="008C17F1"/>
    <w:rsid w:val="008C1E83"/>
    <w:rsid w:val="008C259B"/>
    <w:rsid w:val="008C2814"/>
    <w:rsid w:val="008C2852"/>
    <w:rsid w:val="008C316F"/>
    <w:rsid w:val="008C347B"/>
    <w:rsid w:val="008C3923"/>
    <w:rsid w:val="008C3937"/>
    <w:rsid w:val="008C3DE1"/>
    <w:rsid w:val="008C3FCB"/>
    <w:rsid w:val="008C4205"/>
    <w:rsid w:val="008C479E"/>
    <w:rsid w:val="008C4BF0"/>
    <w:rsid w:val="008C4C6F"/>
    <w:rsid w:val="008C51FA"/>
    <w:rsid w:val="008C5939"/>
    <w:rsid w:val="008C5C2B"/>
    <w:rsid w:val="008C621A"/>
    <w:rsid w:val="008C6A4A"/>
    <w:rsid w:val="008C6E58"/>
    <w:rsid w:val="008C718D"/>
    <w:rsid w:val="008C7856"/>
    <w:rsid w:val="008C79B2"/>
    <w:rsid w:val="008D079E"/>
    <w:rsid w:val="008D15E9"/>
    <w:rsid w:val="008D16AE"/>
    <w:rsid w:val="008D1B0D"/>
    <w:rsid w:val="008D2565"/>
    <w:rsid w:val="008D26DC"/>
    <w:rsid w:val="008D2F7B"/>
    <w:rsid w:val="008D31B3"/>
    <w:rsid w:val="008D3600"/>
    <w:rsid w:val="008D39DC"/>
    <w:rsid w:val="008D41CA"/>
    <w:rsid w:val="008D422B"/>
    <w:rsid w:val="008D4BFF"/>
    <w:rsid w:val="008D4C0F"/>
    <w:rsid w:val="008D4CA0"/>
    <w:rsid w:val="008D4F0B"/>
    <w:rsid w:val="008D5F05"/>
    <w:rsid w:val="008D62C1"/>
    <w:rsid w:val="008D6BD3"/>
    <w:rsid w:val="008D747C"/>
    <w:rsid w:val="008E0208"/>
    <w:rsid w:val="008E09DB"/>
    <w:rsid w:val="008E0CEB"/>
    <w:rsid w:val="008E133D"/>
    <w:rsid w:val="008E1E36"/>
    <w:rsid w:val="008E2466"/>
    <w:rsid w:val="008E24AB"/>
    <w:rsid w:val="008E28E7"/>
    <w:rsid w:val="008E2DA8"/>
    <w:rsid w:val="008E30C5"/>
    <w:rsid w:val="008E350B"/>
    <w:rsid w:val="008E3836"/>
    <w:rsid w:val="008E39BA"/>
    <w:rsid w:val="008E3FF7"/>
    <w:rsid w:val="008E4383"/>
    <w:rsid w:val="008E439B"/>
    <w:rsid w:val="008E4B95"/>
    <w:rsid w:val="008E5284"/>
    <w:rsid w:val="008E533E"/>
    <w:rsid w:val="008E5735"/>
    <w:rsid w:val="008E5E98"/>
    <w:rsid w:val="008E64B0"/>
    <w:rsid w:val="008E688A"/>
    <w:rsid w:val="008E7112"/>
    <w:rsid w:val="008E75CA"/>
    <w:rsid w:val="008E793D"/>
    <w:rsid w:val="008F0097"/>
    <w:rsid w:val="008F00AE"/>
    <w:rsid w:val="008F01CC"/>
    <w:rsid w:val="008F0369"/>
    <w:rsid w:val="008F05A4"/>
    <w:rsid w:val="008F1612"/>
    <w:rsid w:val="008F19DC"/>
    <w:rsid w:val="008F1C4C"/>
    <w:rsid w:val="008F2195"/>
    <w:rsid w:val="008F2892"/>
    <w:rsid w:val="008F2D39"/>
    <w:rsid w:val="008F2E03"/>
    <w:rsid w:val="008F2E9F"/>
    <w:rsid w:val="008F3B9F"/>
    <w:rsid w:val="008F452D"/>
    <w:rsid w:val="008F4926"/>
    <w:rsid w:val="008F49B4"/>
    <w:rsid w:val="008F4A69"/>
    <w:rsid w:val="008F5102"/>
    <w:rsid w:val="008F5350"/>
    <w:rsid w:val="008F5B37"/>
    <w:rsid w:val="008F6073"/>
    <w:rsid w:val="008F61AB"/>
    <w:rsid w:val="008F624A"/>
    <w:rsid w:val="008F65D3"/>
    <w:rsid w:val="00900384"/>
    <w:rsid w:val="00900C42"/>
    <w:rsid w:val="00900DA6"/>
    <w:rsid w:val="0090104B"/>
    <w:rsid w:val="00901155"/>
    <w:rsid w:val="00901AF5"/>
    <w:rsid w:val="00901D02"/>
    <w:rsid w:val="00901E9E"/>
    <w:rsid w:val="0090215E"/>
    <w:rsid w:val="00902397"/>
    <w:rsid w:val="00902603"/>
    <w:rsid w:val="0090260C"/>
    <w:rsid w:val="0090275D"/>
    <w:rsid w:val="00902B0D"/>
    <w:rsid w:val="00902B2C"/>
    <w:rsid w:val="00902BB0"/>
    <w:rsid w:val="00902F66"/>
    <w:rsid w:val="0090308F"/>
    <w:rsid w:val="00903624"/>
    <w:rsid w:val="00903872"/>
    <w:rsid w:val="00903C8D"/>
    <w:rsid w:val="00903FAD"/>
    <w:rsid w:val="00904231"/>
    <w:rsid w:val="00905208"/>
    <w:rsid w:val="009056EA"/>
    <w:rsid w:val="0090584F"/>
    <w:rsid w:val="0090589B"/>
    <w:rsid w:val="00906BE0"/>
    <w:rsid w:val="00906FAC"/>
    <w:rsid w:val="00907E8F"/>
    <w:rsid w:val="00907EBE"/>
    <w:rsid w:val="00910AF7"/>
    <w:rsid w:val="00911AD2"/>
    <w:rsid w:val="0091234C"/>
    <w:rsid w:val="00912C32"/>
    <w:rsid w:val="00914057"/>
    <w:rsid w:val="00914C6C"/>
    <w:rsid w:val="009155D6"/>
    <w:rsid w:val="00915F37"/>
    <w:rsid w:val="00916245"/>
    <w:rsid w:val="00916A90"/>
    <w:rsid w:val="00916B3B"/>
    <w:rsid w:val="00916BF0"/>
    <w:rsid w:val="0091703A"/>
    <w:rsid w:val="0091739D"/>
    <w:rsid w:val="009174E5"/>
    <w:rsid w:val="0091758E"/>
    <w:rsid w:val="00917698"/>
    <w:rsid w:val="00920260"/>
    <w:rsid w:val="00920CA8"/>
    <w:rsid w:val="00920F35"/>
    <w:rsid w:val="00920F9F"/>
    <w:rsid w:val="009216D6"/>
    <w:rsid w:val="00921859"/>
    <w:rsid w:val="00921AE5"/>
    <w:rsid w:val="00921BB5"/>
    <w:rsid w:val="00921CBF"/>
    <w:rsid w:val="009222F4"/>
    <w:rsid w:val="00922A1B"/>
    <w:rsid w:val="00922B4E"/>
    <w:rsid w:val="00922B60"/>
    <w:rsid w:val="00922DD1"/>
    <w:rsid w:val="0092320B"/>
    <w:rsid w:val="00923D71"/>
    <w:rsid w:val="00924247"/>
    <w:rsid w:val="00924561"/>
    <w:rsid w:val="0092463C"/>
    <w:rsid w:val="009246E0"/>
    <w:rsid w:val="009248A5"/>
    <w:rsid w:val="00924C4C"/>
    <w:rsid w:val="009258BF"/>
    <w:rsid w:val="00925A17"/>
    <w:rsid w:val="00925A5A"/>
    <w:rsid w:val="009260F8"/>
    <w:rsid w:val="00926219"/>
    <w:rsid w:val="00926264"/>
    <w:rsid w:val="009262D2"/>
    <w:rsid w:val="00926416"/>
    <w:rsid w:val="00926516"/>
    <w:rsid w:val="0092660F"/>
    <w:rsid w:val="00926806"/>
    <w:rsid w:val="00926B72"/>
    <w:rsid w:val="00926D11"/>
    <w:rsid w:val="00927125"/>
    <w:rsid w:val="00927D39"/>
    <w:rsid w:val="00927E47"/>
    <w:rsid w:val="00930576"/>
    <w:rsid w:val="0093074C"/>
    <w:rsid w:val="009309E5"/>
    <w:rsid w:val="00930DC0"/>
    <w:rsid w:val="0093103C"/>
    <w:rsid w:val="00931D28"/>
    <w:rsid w:val="00931E9B"/>
    <w:rsid w:val="009322C4"/>
    <w:rsid w:val="009328CB"/>
    <w:rsid w:val="00932D2D"/>
    <w:rsid w:val="00932E93"/>
    <w:rsid w:val="009335D6"/>
    <w:rsid w:val="009339F0"/>
    <w:rsid w:val="009348E3"/>
    <w:rsid w:val="00934E91"/>
    <w:rsid w:val="00935364"/>
    <w:rsid w:val="00935A06"/>
    <w:rsid w:val="00935D25"/>
    <w:rsid w:val="00935DF2"/>
    <w:rsid w:val="00936209"/>
    <w:rsid w:val="00936668"/>
    <w:rsid w:val="00936C5D"/>
    <w:rsid w:val="00937391"/>
    <w:rsid w:val="00937A6A"/>
    <w:rsid w:val="00937C69"/>
    <w:rsid w:val="00937C78"/>
    <w:rsid w:val="0094007D"/>
    <w:rsid w:val="00940765"/>
    <w:rsid w:val="00940A4F"/>
    <w:rsid w:val="00940AAE"/>
    <w:rsid w:val="00940AF3"/>
    <w:rsid w:val="009410AC"/>
    <w:rsid w:val="0094131E"/>
    <w:rsid w:val="009414C4"/>
    <w:rsid w:val="00941A48"/>
    <w:rsid w:val="00941A4D"/>
    <w:rsid w:val="00941A54"/>
    <w:rsid w:val="00941A76"/>
    <w:rsid w:val="00941F30"/>
    <w:rsid w:val="009426B2"/>
    <w:rsid w:val="00942AEA"/>
    <w:rsid w:val="00942B8E"/>
    <w:rsid w:val="009430B6"/>
    <w:rsid w:val="009439BB"/>
    <w:rsid w:val="00943D51"/>
    <w:rsid w:val="00943FC3"/>
    <w:rsid w:val="009440DF"/>
    <w:rsid w:val="009442FD"/>
    <w:rsid w:val="009447BB"/>
    <w:rsid w:val="00944F4A"/>
    <w:rsid w:val="0094509A"/>
    <w:rsid w:val="00945933"/>
    <w:rsid w:val="00945BD6"/>
    <w:rsid w:val="00945D1C"/>
    <w:rsid w:val="009473FE"/>
    <w:rsid w:val="00947895"/>
    <w:rsid w:val="00947A60"/>
    <w:rsid w:val="009501E3"/>
    <w:rsid w:val="0095058B"/>
    <w:rsid w:val="00950C02"/>
    <w:rsid w:val="009515BD"/>
    <w:rsid w:val="00951794"/>
    <w:rsid w:val="009521D5"/>
    <w:rsid w:val="009522D5"/>
    <w:rsid w:val="00952578"/>
    <w:rsid w:val="00952817"/>
    <w:rsid w:val="00952A4C"/>
    <w:rsid w:val="00952D14"/>
    <w:rsid w:val="00953810"/>
    <w:rsid w:val="00953B62"/>
    <w:rsid w:val="00953DB4"/>
    <w:rsid w:val="00953E06"/>
    <w:rsid w:val="00954336"/>
    <w:rsid w:val="00954533"/>
    <w:rsid w:val="00954600"/>
    <w:rsid w:val="00954B05"/>
    <w:rsid w:val="00954CE1"/>
    <w:rsid w:val="00954FED"/>
    <w:rsid w:val="00955E17"/>
    <w:rsid w:val="0095601F"/>
    <w:rsid w:val="0095626F"/>
    <w:rsid w:val="00956499"/>
    <w:rsid w:val="0095654F"/>
    <w:rsid w:val="00956B5C"/>
    <w:rsid w:val="00956C23"/>
    <w:rsid w:val="00957008"/>
    <w:rsid w:val="00960566"/>
    <w:rsid w:val="009606B6"/>
    <w:rsid w:val="0096095E"/>
    <w:rsid w:val="00960DE9"/>
    <w:rsid w:val="00960EC4"/>
    <w:rsid w:val="009610D9"/>
    <w:rsid w:val="00961418"/>
    <w:rsid w:val="009618A3"/>
    <w:rsid w:val="00961B27"/>
    <w:rsid w:val="009621ED"/>
    <w:rsid w:val="009629BF"/>
    <w:rsid w:val="00962A52"/>
    <w:rsid w:val="00962B60"/>
    <w:rsid w:val="00962C7C"/>
    <w:rsid w:val="00962EF8"/>
    <w:rsid w:val="00963DC1"/>
    <w:rsid w:val="00964290"/>
    <w:rsid w:val="00964423"/>
    <w:rsid w:val="00964FD0"/>
    <w:rsid w:val="009657D9"/>
    <w:rsid w:val="00966123"/>
    <w:rsid w:val="0096698C"/>
    <w:rsid w:val="00966A70"/>
    <w:rsid w:val="0097075C"/>
    <w:rsid w:val="00970C0E"/>
    <w:rsid w:val="00970E7D"/>
    <w:rsid w:val="00970E82"/>
    <w:rsid w:val="00971358"/>
    <w:rsid w:val="009714FE"/>
    <w:rsid w:val="00971DBE"/>
    <w:rsid w:val="00971FA3"/>
    <w:rsid w:val="00972AD4"/>
    <w:rsid w:val="00972D5E"/>
    <w:rsid w:val="00973718"/>
    <w:rsid w:val="00973CC3"/>
    <w:rsid w:val="00973D88"/>
    <w:rsid w:val="00973E70"/>
    <w:rsid w:val="00973FBC"/>
    <w:rsid w:val="009742CE"/>
    <w:rsid w:val="00975467"/>
    <w:rsid w:val="009757F7"/>
    <w:rsid w:val="0097592F"/>
    <w:rsid w:val="00975E19"/>
    <w:rsid w:val="00976005"/>
    <w:rsid w:val="009762B1"/>
    <w:rsid w:val="00976607"/>
    <w:rsid w:val="009768BE"/>
    <w:rsid w:val="00976A33"/>
    <w:rsid w:val="0097734A"/>
    <w:rsid w:val="009779A7"/>
    <w:rsid w:val="00977BDA"/>
    <w:rsid w:val="00977CC0"/>
    <w:rsid w:val="00977D28"/>
    <w:rsid w:val="00980411"/>
    <w:rsid w:val="009806A0"/>
    <w:rsid w:val="0098104D"/>
    <w:rsid w:val="009811C3"/>
    <w:rsid w:val="0098140D"/>
    <w:rsid w:val="0098142C"/>
    <w:rsid w:val="00981832"/>
    <w:rsid w:val="009822C1"/>
    <w:rsid w:val="00982D7F"/>
    <w:rsid w:val="00983517"/>
    <w:rsid w:val="00983732"/>
    <w:rsid w:val="00983ABA"/>
    <w:rsid w:val="009847D9"/>
    <w:rsid w:val="009848ED"/>
    <w:rsid w:val="009849B9"/>
    <w:rsid w:val="00984D9A"/>
    <w:rsid w:val="00984F09"/>
    <w:rsid w:val="00984FF5"/>
    <w:rsid w:val="0098513D"/>
    <w:rsid w:val="00985170"/>
    <w:rsid w:val="009855B1"/>
    <w:rsid w:val="00985D32"/>
    <w:rsid w:val="0098675E"/>
    <w:rsid w:val="009877FC"/>
    <w:rsid w:val="00987B68"/>
    <w:rsid w:val="00987E4B"/>
    <w:rsid w:val="009901C9"/>
    <w:rsid w:val="00990336"/>
    <w:rsid w:val="00990707"/>
    <w:rsid w:val="009909D5"/>
    <w:rsid w:val="0099123F"/>
    <w:rsid w:val="0099142C"/>
    <w:rsid w:val="0099162B"/>
    <w:rsid w:val="00991817"/>
    <w:rsid w:val="00991828"/>
    <w:rsid w:val="00991BB0"/>
    <w:rsid w:val="009922BA"/>
    <w:rsid w:val="0099312A"/>
    <w:rsid w:val="00993151"/>
    <w:rsid w:val="00993B0C"/>
    <w:rsid w:val="00993C29"/>
    <w:rsid w:val="00994070"/>
    <w:rsid w:val="00994C08"/>
    <w:rsid w:val="0099546D"/>
    <w:rsid w:val="009959A0"/>
    <w:rsid w:val="00995C4A"/>
    <w:rsid w:val="009967C8"/>
    <w:rsid w:val="009969A7"/>
    <w:rsid w:val="00996D26"/>
    <w:rsid w:val="009970A2"/>
    <w:rsid w:val="009973AE"/>
    <w:rsid w:val="009978B6"/>
    <w:rsid w:val="00997E6E"/>
    <w:rsid w:val="009A04E6"/>
    <w:rsid w:val="009A05F8"/>
    <w:rsid w:val="009A06A0"/>
    <w:rsid w:val="009A0A57"/>
    <w:rsid w:val="009A1268"/>
    <w:rsid w:val="009A1293"/>
    <w:rsid w:val="009A14B9"/>
    <w:rsid w:val="009A1D5D"/>
    <w:rsid w:val="009A2042"/>
    <w:rsid w:val="009A20E8"/>
    <w:rsid w:val="009A2690"/>
    <w:rsid w:val="009A2CB5"/>
    <w:rsid w:val="009A3D1E"/>
    <w:rsid w:val="009A4033"/>
    <w:rsid w:val="009A40E0"/>
    <w:rsid w:val="009A4463"/>
    <w:rsid w:val="009A48C1"/>
    <w:rsid w:val="009A4E6F"/>
    <w:rsid w:val="009A538A"/>
    <w:rsid w:val="009A551B"/>
    <w:rsid w:val="009A5CE7"/>
    <w:rsid w:val="009A6369"/>
    <w:rsid w:val="009A6A00"/>
    <w:rsid w:val="009A6F12"/>
    <w:rsid w:val="009A724E"/>
    <w:rsid w:val="009A7809"/>
    <w:rsid w:val="009A7A95"/>
    <w:rsid w:val="009A7F2A"/>
    <w:rsid w:val="009B0336"/>
    <w:rsid w:val="009B0410"/>
    <w:rsid w:val="009B100B"/>
    <w:rsid w:val="009B102B"/>
    <w:rsid w:val="009B1931"/>
    <w:rsid w:val="009B1DF5"/>
    <w:rsid w:val="009B1E5A"/>
    <w:rsid w:val="009B24B6"/>
    <w:rsid w:val="009B2923"/>
    <w:rsid w:val="009B2E0B"/>
    <w:rsid w:val="009B3768"/>
    <w:rsid w:val="009B3783"/>
    <w:rsid w:val="009B3BDF"/>
    <w:rsid w:val="009B4190"/>
    <w:rsid w:val="009B432A"/>
    <w:rsid w:val="009B4FC5"/>
    <w:rsid w:val="009B5609"/>
    <w:rsid w:val="009B6360"/>
    <w:rsid w:val="009B65B4"/>
    <w:rsid w:val="009B65FF"/>
    <w:rsid w:val="009B6CD4"/>
    <w:rsid w:val="009B7AEE"/>
    <w:rsid w:val="009C0DE1"/>
    <w:rsid w:val="009C213C"/>
    <w:rsid w:val="009C24AE"/>
    <w:rsid w:val="009C25EF"/>
    <w:rsid w:val="009C2753"/>
    <w:rsid w:val="009C307D"/>
    <w:rsid w:val="009C3A9E"/>
    <w:rsid w:val="009C44A0"/>
    <w:rsid w:val="009C5095"/>
    <w:rsid w:val="009C5DF4"/>
    <w:rsid w:val="009C5E20"/>
    <w:rsid w:val="009C651B"/>
    <w:rsid w:val="009C6636"/>
    <w:rsid w:val="009C6A1F"/>
    <w:rsid w:val="009C6FA1"/>
    <w:rsid w:val="009C70A1"/>
    <w:rsid w:val="009C73BD"/>
    <w:rsid w:val="009C794F"/>
    <w:rsid w:val="009C7ADD"/>
    <w:rsid w:val="009D007D"/>
    <w:rsid w:val="009D07C6"/>
    <w:rsid w:val="009D0D93"/>
    <w:rsid w:val="009D13D4"/>
    <w:rsid w:val="009D1817"/>
    <w:rsid w:val="009D18FD"/>
    <w:rsid w:val="009D2548"/>
    <w:rsid w:val="009D26E1"/>
    <w:rsid w:val="009D322A"/>
    <w:rsid w:val="009D34B9"/>
    <w:rsid w:val="009D369A"/>
    <w:rsid w:val="009D36A3"/>
    <w:rsid w:val="009D3EC9"/>
    <w:rsid w:val="009D3FFB"/>
    <w:rsid w:val="009D42D2"/>
    <w:rsid w:val="009D47FD"/>
    <w:rsid w:val="009D49CC"/>
    <w:rsid w:val="009D4EE2"/>
    <w:rsid w:val="009D5242"/>
    <w:rsid w:val="009D54B1"/>
    <w:rsid w:val="009D5669"/>
    <w:rsid w:val="009D58BD"/>
    <w:rsid w:val="009D597C"/>
    <w:rsid w:val="009D6018"/>
    <w:rsid w:val="009D62C7"/>
    <w:rsid w:val="009D6702"/>
    <w:rsid w:val="009D6BDB"/>
    <w:rsid w:val="009D778F"/>
    <w:rsid w:val="009D7EF1"/>
    <w:rsid w:val="009E0167"/>
    <w:rsid w:val="009E0213"/>
    <w:rsid w:val="009E085C"/>
    <w:rsid w:val="009E0CD4"/>
    <w:rsid w:val="009E1866"/>
    <w:rsid w:val="009E1A24"/>
    <w:rsid w:val="009E233E"/>
    <w:rsid w:val="009E28CB"/>
    <w:rsid w:val="009E31A6"/>
    <w:rsid w:val="009E34E8"/>
    <w:rsid w:val="009E3DF7"/>
    <w:rsid w:val="009E40EB"/>
    <w:rsid w:val="009E41A5"/>
    <w:rsid w:val="009E439A"/>
    <w:rsid w:val="009E4AA6"/>
    <w:rsid w:val="009E514A"/>
    <w:rsid w:val="009E52B9"/>
    <w:rsid w:val="009E5633"/>
    <w:rsid w:val="009E5C84"/>
    <w:rsid w:val="009E5E0A"/>
    <w:rsid w:val="009E5ECF"/>
    <w:rsid w:val="009E5FED"/>
    <w:rsid w:val="009E6744"/>
    <w:rsid w:val="009E778A"/>
    <w:rsid w:val="009E7A72"/>
    <w:rsid w:val="009E7AF0"/>
    <w:rsid w:val="009F019D"/>
    <w:rsid w:val="009F0802"/>
    <w:rsid w:val="009F09E3"/>
    <w:rsid w:val="009F1140"/>
    <w:rsid w:val="009F27C9"/>
    <w:rsid w:val="009F2988"/>
    <w:rsid w:val="009F33A7"/>
    <w:rsid w:val="009F3412"/>
    <w:rsid w:val="009F342B"/>
    <w:rsid w:val="009F346C"/>
    <w:rsid w:val="009F34CD"/>
    <w:rsid w:val="009F3D5F"/>
    <w:rsid w:val="009F3E30"/>
    <w:rsid w:val="009F3EBF"/>
    <w:rsid w:val="009F3ECE"/>
    <w:rsid w:val="009F4231"/>
    <w:rsid w:val="009F4626"/>
    <w:rsid w:val="009F5004"/>
    <w:rsid w:val="009F59C4"/>
    <w:rsid w:val="009F59E9"/>
    <w:rsid w:val="009F673E"/>
    <w:rsid w:val="009F69D0"/>
    <w:rsid w:val="009F6A4C"/>
    <w:rsid w:val="009F7183"/>
    <w:rsid w:val="009F73AC"/>
    <w:rsid w:val="009F77CB"/>
    <w:rsid w:val="00A001A5"/>
    <w:rsid w:val="00A00442"/>
    <w:rsid w:val="00A00709"/>
    <w:rsid w:val="00A0091D"/>
    <w:rsid w:val="00A0149D"/>
    <w:rsid w:val="00A01943"/>
    <w:rsid w:val="00A01A53"/>
    <w:rsid w:val="00A01C79"/>
    <w:rsid w:val="00A0207A"/>
    <w:rsid w:val="00A0228A"/>
    <w:rsid w:val="00A0237F"/>
    <w:rsid w:val="00A026A6"/>
    <w:rsid w:val="00A0282A"/>
    <w:rsid w:val="00A02FE2"/>
    <w:rsid w:val="00A03321"/>
    <w:rsid w:val="00A035B6"/>
    <w:rsid w:val="00A03790"/>
    <w:rsid w:val="00A03F46"/>
    <w:rsid w:val="00A04211"/>
    <w:rsid w:val="00A057DD"/>
    <w:rsid w:val="00A05C91"/>
    <w:rsid w:val="00A05D52"/>
    <w:rsid w:val="00A05E81"/>
    <w:rsid w:val="00A0640A"/>
    <w:rsid w:val="00A06478"/>
    <w:rsid w:val="00A06510"/>
    <w:rsid w:val="00A0697B"/>
    <w:rsid w:val="00A06B96"/>
    <w:rsid w:val="00A06E4E"/>
    <w:rsid w:val="00A07BA8"/>
    <w:rsid w:val="00A07DB4"/>
    <w:rsid w:val="00A10466"/>
    <w:rsid w:val="00A10D9A"/>
    <w:rsid w:val="00A115D7"/>
    <w:rsid w:val="00A12232"/>
    <w:rsid w:val="00A12262"/>
    <w:rsid w:val="00A127C4"/>
    <w:rsid w:val="00A12FBF"/>
    <w:rsid w:val="00A12FDC"/>
    <w:rsid w:val="00A13309"/>
    <w:rsid w:val="00A14599"/>
    <w:rsid w:val="00A145F2"/>
    <w:rsid w:val="00A1482A"/>
    <w:rsid w:val="00A14CF5"/>
    <w:rsid w:val="00A15009"/>
    <w:rsid w:val="00A1566D"/>
    <w:rsid w:val="00A15DC0"/>
    <w:rsid w:val="00A15F9E"/>
    <w:rsid w:val="00A1629B"/>
    <w:rsid w:val="00A167C5"/>
    <w:rsid w:val="00A167D4"/>
    <w:rsid w:val="00A1681D"/>
    <w:rsid w:val="00A169CC"/>
    <w:rsid w:val="00A17062"/>
    <w:rsid w:val="00A1707C"/>
    <w:rsid w:val="00A17207"/>
    <w:rsid w:val="00A17E61"/>
    <w:rsid w:val="00A201B6"/>
    <w:rsid w:val="00A20669"/>
    <w:rsid w:val="00A20AC7"/>
    <w:rsid w:val="00A20CEE"/>
    <w:rsid w:val="00A20D55"/>
    <w:rsid w:val="00A2122E"/>
    <w:rsid w:val="00A21587"/>
    <w:rsid w:val="00A219A7"/>
    <w:rsid w:val="00A22D30"/>
    <w:rsid w:val="00A2334A"/>
    <w:rsid w:val="00A23387"/>
    <w:rsid w:val="00A2340C"/>
    <w:rsid w:val="00A234FB"/>
    <w:rsid w:val="00A242A2"/>
    <w:rsid w:val="00A242D5"/>
    <w:rsid w:val="00A24514"/>
    <w:rsid w:val="00A24B6E"/>
    <w:rsid w:val="00A24E00"/>
    <w:rsid w:val="00A24E86"/>
    <w:rsid w:val="00A25C78"/>
    <w:rsid w:val="00A2619E"/>
    <w:rsid w:val="00A2667F"/>
    <w:rsid w:val="00A27611"/>
    <w:rsid w:val="00A278D1"/>
    <w:rsid w:val="00A27A36"/>
    <w:rsid w:val="00A27A47"/>
    <w:rsid w:val="00A27CE5"/>
    <w:rsid w:val="00A3029A"/>
    <w:rsid w:val="00A30446"/>
    <w:rsid w:val="00A30B7A"/>
    <w:rsid w:val="00A30DB1"/>
    <w:rsid w:val="00A310AC"/>
    <w:rsid w:val="00A311A1"/>
    <w:rsid w:val="00A319F7"/>
    <w:rsid w:val="00A32548"/>
    <w:rsid w:val="00A32DD2"/>
    <w:rsid w:val="00A33601"/>
    <w:rsid w:val="00A340D1"/>
    <w:rsid w:val="00A3463F"/>
    <w:rsid w:val="00A35098"/>
    <w:rsid w:val="00A351DC"/>
    <w:rsid w:val="00A35ABD"/>
    <w:rsid w:val="00A36227"/>
    <w:rsid w:val="00A36303"/>
    <w:rsid w:val="00A369FC"/>
    <w:rsid w:val="00A376A0"/>
    <w:rsid w:val="00A4049D"/>
    <w:rsid w:val="00A4128D"/>
    <w:rsid w:val="00A414DB"/>
    <w:rsid w:val="00A414F0"/>
    <w:rsid w:val="00A41C98"/>
    <w:rsid w:val="00A41F8A"/>
    <w:rsid w:val="00A42CD1"/>
    <w:rsid w:val="00A4327E"/>
    <w:rsid w:val="00A43384"/>
    <w:rsid w:val="00A43472"/>
    <w:rsid w:val="00A438E4"/>
    <w:rsid w:val="00A43AE8"/>
    <w:rsid w:val="00A43CCC"/>
    <w:rsid w:val="00A43FBF"/>
    <w:rsid w:val="00A4414D"/>
    <w:rsid w:val="00A443EE"/>
    <w:rsid w:val="00A44725"/>
    <w:rsid w:val="00A4474A"/>
    <w:rsid w:val="00A44848"/>
    <w:rsid w:val="00A44A35"/>
    <w:rsid w:val="00A451F3"/>
    <w:rsid w:val="00A45593"/>
    <w:rsid w:val="00A45B35"/>
    <w:rsid w:val="00A45D92"/>
    <w:rsid w:val="00A45FF8"/>
    <w:rsid w:val="00A4633E"/>
    <w:rsid w:val="00A46BD8"/>
    <w:rsid w:val="00A46DC8"/>
    <w:rsid w:val="00A476DD"/>
    <w:rsid w:val="00A47BCE"/>
    <w:rsid w:val="00A50C67"/>
    <w:rsid w:val="00A514C5"/>
    <w:rsid w:val="00A5165A"/>
    <w:rsid w:val="00A51771"/>
    <w:rsid w:val="00A52199"/>
    <w:rsid w:val="00A5225A"/>
    <w:rsid w:val="00A528E5"/>
    <w:rsid w:val="00A52DDC"/>
    <w:rsid w:val="00A52E40"/>
    <w:rsid w:val="00A536DD"/>
    <w:rsid w:val="00A539AA"/>
    <w:rsid w:val="00A54035"/>
    <w:rsid w:val="00A540FA"/>
    <w:rsid w:val="00A5424D"/>
    <w:rsid w:val="00A54270"/>
    <w:rsid w:val="00A54B86"/>
    <w:rsid w:val="00A54CF3"/>
    <w:rsid w:val="00A54D7D"/>
    <w:rsid w:val="00A55999"/>
    <w:rsid w:val="00A55AC6"/>
    <w:rsid w:val="00A55FD0"/>
    <w:rsid w:val="00A561A9"/>
    <w:rsid w:val="00A56302"/>
    <w:rsid w:val="00A56573"/>
    <w:rsid w:val="00A568B8"/>
    <w:rsid w:val="00A56D86"/>
    <w:rsid w:val="00A57819"/>
    <w:rsid w:val="00A57F5A"/>
    <w:rsid w:val="00A60603"/>
    <w:rsid w:val="00A6063F"/>
    <w:rsid w:val="00A60701"/>
    <w:rsid w:val="00A608C9"/>
    <w:rsid w:val="00A60CD9"/>
    <w:rsid w:val="00A61B2A"/>
    <w:rsid w:val="00A62099"/>
    <w:rsid w:val="00A62488"/>
    <w:rsid w:val="00A625AD"/>
    <w:rsid w:val="00A626E3"/>
    <w:rsid w:val="00A62A82"/>
    <w:rsid w:val="00A62C0C"/>
    <w:rsid w:val="00A631BA"/>
    <w:rsid w:val="00A63C23"/>
    <w:rsid w:val="00A63DD4"/>
    <w:rsid w:val="00A63E4A"/>
    <w:rsid w:val="00A6475E"/>
    <w:rsid w:val="00A64EC4"/>
    <w:rsid w:val="00A652AE"/>
    <w:rsid w:val="00A65AAB"/>
    <w:rsid w:val="00A65FE2"/>
    <w:rsid w:val="00A662CD"/>
    <w:rsid w:val="00A66881"/>
    <w:rsid w:val="00A66E89"/>
    <w:rsid w:val="00A66ECE"/>
    <w:rsid w:val="00A678A7"/>
    <w:rsid w:val="00A67D79"/>
    <w:rsid w:val="00A67E47"/>
    <w:rsid w:val="00A700BC"/>
    <w:rsid w:val="00A707A6"/>
    <w:rsid w:val="00A707F7"/>
    <w:rsid w:val="00A70D8F"/>
    <w:rsid w:val="00A70E6B"/>
    <w:rsid w:val="00A71089"/>
    <w:rsid w:val="00A7109A"/>
    <w:rsid w:val="00A71589"/>
    <w:rsid w:val="00A71A2A"/>
    <w:rsid w:val="00A71ECC"/>
    <w:rsid w:val="00A72530"/>
    <w:rsid w:val="00A72879"/>
    <w:rsid w:val="00A72B4F"/>
    <w:rsid w:val="00A731D3"/>
    <w:rsid w:val="00A73920"/>
    <w:rsid w:val="00A73974"/>
    <w:rsid w:val="00A73A2D"/>
    <w:rsid w:val="00A73D2A"/>
    <w:rsid w:val="00A73ECE"/>
    <w:rsid w:val="00A740B7"/>
    <w:rsid w:val="00A74489"/>
    <w:rsid w:val="00A74512"/>
    <w:rsid w:val="00A75123"/>
    <w:rsid w:val="00A7541F"/>
    <w:rsid w:val="00A7612E"/>
    <w:rsid w:val="00A765BC"/>
    <w:rsid w:val="00A766B0"/>
    <w:rsid w:val="00A76746"/>
    <w:rsid w:val="00A76AAA"/>
    <w:rsid w:val="00A76B91"/>
    <w:rsid w:val="00A76F1B"/>
    <w:rsid w:val="00A771F2"/>
    <w:rsid w:val="00A77309"/>
    <w:rsid w:val="00A77648"/>
    <w:rsid w:val="00A77B47"/>
    <w:rsid w:val="00A81611"/>
    <w:rsid w:val="00A8187B"/>
    <w:rsid w:val="00A821B1"/>
    <w:rsid w:val="00A82266"/>
    <w:rsid w:val="00A824AC"/>
    <w:rsid w:val="00A82627"/>
    <w:rsid w:val="00A8278D"/>
    <w:rsid w:val="00A82B9F"/>
    <w:rsid w:val="00A83002"/>
    <w:rsid w:val="00A84BA6"/>
    <w:rsid w:val="00A84CCA"/>
    <w:rsid w:val="00A85086"/>
    <w:rsid w:val="00A86D11"/>
    <w:rsid w:val="00A86DD4"/>
    <w:rsid w:val="00A86DF3"/>
    <w:rsid w:val="00A86FB3"/>
    <w:rsid w:val="00A87136"/>
    <w:rsid w:val="00A87285"/>
    <w:rsid w:val="00A87373"/>
    <w:rsid w:val="00A8753E"/>
    <w:rsid w:val="00A87DEA"/>
    <w:rsid w:val="00A90824"/>
    <w:rsid w:val="00A91163"/>
    <w:rsid w:val="00A92225"/>
    <w:rsid w:val="00A928F7"/>
    <w:rsid w:val="00A92E6B"/>
    <w:rsid w:val="00A9303F"/>
    <w:rsid w:val="00A933E0"/>
    <w:rsid w:val="00A93430"/>
    <w:rsid w:val="00A934E1"/>
    <w:rsid w:val="00A935D8"/>
    <w:rsid w:val="00A9426F"/>
    <w:rsid w:val="00A943F4"/>
    <w:rsid w:val="00A947FB"/>
    <w:rsid w:val="00A94A71"/>
    <w:rsid w:val="00A94E4E"/>
    <w:rsid w:val="00A9539F"/>
    <w:rsid w:val="00A956BB"/>
    <w:rsid w:val="00A9591B"/>
    <w:rsid w:val="00A964BA"/>
    <w:rsid w:val="00A96D95"/>
    <w:rsid w:val="00A96F29"/>
    <w:rsid w:val="00A971BD"/>
    <w:rsid w:val="00A97588"/>
    <w:rsid w:val="00A977BC"/>
    <w:rsid w:val="00AA0130"/>
    <w:rsid w:val="00AA0A10"/>
    <w:rsid w:val="00AA1011"/>
    <w:rsid w:val="00AA189A"/>
    <w:rsid w:val="00AA1CDE"/>
    <w:rsid w:val="00AA25E8"/>
    <w:rsid w:val="00AA26C4"/>
    <w:rsid w:val="00AA26D8"/>
    <w:rsid w:val="00AA28A5"/>
    <w:rsid w:val="00AA28C1"/>
    <w:rsid w:val="00AA2D13"/>
    <w:rsid w:val="00AA2D29"/>
    <w:rsid w:val="00AA2DEE"/>
    <w:rsid w:val="00AA2F98"/>
    <w:rsid w:val="00AA34B4"/>
    <w:rsid w:val="00AA34CC"/>
    <w:rsid w:val="00AA39BB"/>
    <w:rsid w:val="00AA4399"/>
    <w:rsid w:val="00AA44FE"/>
    <w:rsid w:val="00AA4529"/>
    <w:rsid w:val="00AA4D7A"/>
    <w:rsid w:val="00AA4DEC"/>
    <w:rsid w:val="00AA4F2F"/>
    <w:rsid w:val="00AA4F37"/>
    <w:rsid w:val="00AA55D3"/>
    <w:rsid w:val="00AA5B29"/>
    <w:rsid w:val="00AA5D6C"/>
    <w:rsid w:val="00AA642D"/>
    <w:rsid w:val="00AA671E"/>
    <w:rsid w:val="00AA688A"/>
    <w:rsid w:val="00AA6C4A"/>
    <w:rsid w:val="00AA6C8E"/>
    <w:rsid w:val="00AA72E1"/>
    <w:rsid w:val="00AA7382"/>
    <w:rsid w:val="00AA765D"/>
    <w:rsid w:val="00AA7A44"/>
    <w:rsid w:val="00AA7FEF"/>
    <w:rsid w:val="00AAFDFE"/>
    <w:rsid w:val="00AB0006"/>
    <w:rsid w:val="00AB0E6A"/>
    <w:rsid w:val="00AB0FB0"/>
    <w:rsid w:val="00AB1461"/>
    <w:rsid w:val="00AB1B09"/>
    <w:rsid w:val="00AB2AD0"/>
    <w:rsid w:val="00AB2E78"/>
    <w:rsid w:val="00AB3534"/>
    <w:rsid w:val="00AB3D78"/>
    <w:rsid w:val="00AB3EA3"/>
    <w:rsid w:val="00AB3FE3"/>
    <w:rsid w:val="00AB41C0"/>
    <w:rsid w:val="00AB46B4"/>
    <w:rsid w:val="00AB4AF2"/>
    <w:rsid w:val="00AB4C21"/>
    <w:rsid w:val="00AB4FE5"/>
    <w:rsid w:val="00AB5019"/>
    <w:rsid w:val="00AB5320"/>
    <w:rsid w:val="00AB579E"/>
    <w:rsid w:val="00AB5874"/>
    <w:rsid w:val="00AB5FB4"/>
    <w:rsid w:val="00AB63EE"/>
    <w:rsid w:val="00AB68AD"/>
    <w:rsid w:val="00AB6AFD"/>
    <w:rsid w:val="00AB6B7D"/>
    <w:rsid w:val="00AB7269"/>
    <w:rsid w:val="00AB73C2"/>
    <w:rsid w:val="00AC0132"/>
    <w:rsid w:val="00AC02F5"/>
    <w:rsid w:val="00AC06AA"/>
    <w:rsid w:val="00AC07BE"/>
    <w:rsid w:val="00AC0A65"/>
    <w:rsid w:val="00AC0CD6"/>
    <w:rsid w:val="00AC2596"/>
    <w:rsid w:val="00AC2B10"/>
    <w:rsid w:val="00AC3313"/>
    <w:rsid w:val="00AC3880"/>
    <w:rsid w:val="00AC431D"/>
    <w:rsid w:val="00AC4A39"/>
    <w:rsid w:val="00AC4D88"/>
    <w:rsid w:val="00AC565E"/>
    <w:rsid w:val="00AC5C4B"/>
    <w:rsid w:val="00AC5F94"/>
    <w:rsid w:val="00AC6213"/>
    <w:rsid w:val="00AC692F"/>
    <w:rsid w:val="00AC6CBE"/>
    <w:rsid w:val="00AC7083"/>
    <w:rsid w:val="00AC73F2"/>
    <w:rsid w:val="00AC7AAD"/>
    <w:rsid w:val="00AD0201"/>
    <w:rsid w:val="00AD0505"/>
    <w:rsid w:val="00AD08B6"/>
    <w:rsid w:val="00AD08C0"/>
    <w:rsid w:val="00AD1149"/>
    <w:rsid w:val="00AD1681"/>
    <w:rsid w:val="00AD183B"/>
    <w:rsid w:val="00AD210F"/>
    <w:rsid w:val="00AD222B"/>
    <w:rsid w:val="00AD2273"/>
    <w:rsid w:val="00AD23CB"/>
    <w:rsid w:val="00AD2910"/>
    <w:rsid w:val="00AD2F56"/>
    <w:rsid w:val="00AD413D"/>
    <w:rsid w:val="00AD4185"/>
    <w:rsid w:val="00AD55CC"/>
    <w:rsid w:val="00AD59DE"/>
    <w:rsid w:val="00AD5A78"/>
    <w:rsid w:val="00AD5BBB"/>
    <w:rsid w:val="00AD6368"/>
    <w:rsid w:val="00AD766A"/>
    <w:rsid w:val="00AD7C19"/>
    <w:rsid w:val="00AD7C26"/>
    <w:rsid w:val="00AE0272"/>
    <w:rsid w:val="00AE05DC"/>
    <w:rsid w:val="00AE0686"/>
    <w:rsid w:val="00AE0DB7"/>
    <w:rsid w:val="00AE0FD4"/>
    <w:rsid w:val="00AE1345"/>
    <w:rsid w:val="00AE147F"/>
    <w:rsid w:val="00AE1CB6"/>
    <w:rsid w:val="00AE1E7E"/>
    <w:rsid w:val="00AE1EFE"/>
    <w:rsid w:val="00AE288C"/>
    <w:rsid w:val="00AE3356"/>
    <w:rsid w:val="00AE371F"/>
    <w:rsid w:val="00AE3A99"/>
    <w:rsid w:val="00AE4663"/>
    <w:rsid w:val="00AE486C"/>
    <w:rsid w:val="00AE48C3"/>
    <w:rsid w:val="00AE4C8F"/>
    <w:rsid w:val="00AE4FB6"/>
    <w:rsid w:val="00AE55AC"/>
    <w:rsid w:val="00AE60CB"/>
    <w:rsid w:val="00AE6BE4"/>
    <w:rsid w:val="00AE705B"/>
    <w:rsid w:val="00AE7694"/>
    <w:rsid w:val="00AE7E21"/>
    <w:rsid w:val="00AF0459"/>
    <w:rsid w:val="00AF0951"/>
    <w:rsid w:val="00AF09C5"/>
    <w:rsid w:val="00AF0A3A"/>
    <w:rsid w:val="00AF132B"/>
    <w:rsid w:val="00AF1372"/>
    <w:rsid w:val="00AF1690"/>
    <w:rsid w:val="00AF1E52"/>
    <w:rsid w:val="00AF1FC1"/>
    <w:rsid w:val="00AF20BD"/>
    <w:rsid w:val="00AF21F2"/>
    <w:rsid w:val="00AF238C"/>
    <w:rsid w:val="00AF27A4"/>
    <w:rsid w:val="00AF2852"/>
    <w:rsid w:val="00AF347D"/>
    <w:rsid w:val="00AF3D34"/>
    <w:rsid w:val="00AF41B7"/>
    <w:rsid w:val="00AF420A"/>
    <w:rsid w:val="00AF4371"/>
    <w:rsid w:val="00AF4598"/>
    <w:rsid w:val="00AF4820"/>
    <w:rsid w:val="00AF4D98"/>
    <w:rsid w:val="00AF55BA"/>
    <w:rsid w:val="00AF5A6D"/>
    <w:rsid w:val="00AF5C20"/>
    <w:rsid w:val="00AF5D42"/>
    <w:rsid w:val="00AF6119"/>
    <w:rsid w:val="00AF6252"/>
    <w:rsid w:val="00AF647D"/>
    <w:rsid w:val="00AF6C55"/>
    <w:rsid w:val="00AF7112"/>
    <w:rsid w:val="00AF723E"/>
    <w:rsid w:val="00AF7A72"/>
    <w:rsid w:val="00B0030D"/>
    <w:rsid w:val="00B00B7A"/>
    <w:rsid w:val="00B01286"/>
    <w:rsid w:val="00B01596"/>
    <w:rsid w:val="00B01806"/>
    <w:rsid w:val="00B018D4"/>
    <w:rsid w:val="00B01A65"/>
    <w:rsid w:val="00B01A6B"/>
    <w:rsid w:val="00B01D9E"/>
    <w:rsid w:val="00B0237F"/>
    <w:rsid w:val="00B02623"/>
    <w:rsid w:val="00B02DD2"/>
    <w:rsid w:val="00B031BA"/>
    <w:rsid w:val="00B03CEC"/>
    <w:rsid w:val="00B04012"/>
    <w:rsid w:val="00B04505"/>
    <w:rsid w:val="00B04642"/>
    <w:rsid w:val="00B0464F"/>
    <w:rsid w:val="00B04C11"/>
    <w:rsid w:val="00B04CD2"/>
    <w:rsid w:val="00B05595"/>
    <w:rsid w:val="00B05E49"/>
    <w:rsid w:val="00B0624F"/>
    <w:rsid w:val="00B062E1"/>
    <w:rsid w:val="00B06320"/>
    <w:rsid w:val="00B0679E"/>
    <w:rsid w:val="00B06824"/>
    <w:rsid w:val="00B068FE"/>
    <w:rsid w:val="00B06A1E"/>
    <w:rsid w:val="00B06C8C"/>
    <w:rsid w:val="00B06EB6"/>
    <w:rsid w:val="00B07493"/>
    <w:rsid w:val="00B075DE"/>
    <w:rsid w:val="00B10533"/>
    <w:rsid w:val="00B105DD"/>
    <w:rsid w:val="00B10673"/>
    <w:rsid w:val="00B10870"/>
    <w:rsid w:val="00B10897"/>
    <w:rsid w:val="00B10F51"/>
    <w:rsid w:val="00B1119D"/>
    <w:rsid w:val="00B1139B"/>
    <w:rsid w:val="00B115E5"/>
    <w:rsid w:val="00B11ABD"/>
    <w:rsid w:val="00B120BC"/>
    <w:rsid w:val="00B12125"/>
    <w:rsid w:val="00B123DB"/>
    <w:rsid w:val="00B1257F"/>
    <w:rsid w:val="00B12A85"/>
    <w:rsid w:val="00B12B0D"/>
    <w:rsid w:val="00B12FD6"/>
    <w:rsid w:val="00B13040"/>
    <w:rsid w:val="00B13DFD"/>
    <w:rsid w:val="00B14124"/>
    <w:rsid w:val="00B14602"/>
    <w:rsid w:val="00B1496B"/>
    <w:rsid w:val="00B14A71"/>
    <w:rsid w:val="00B14E83"/>
    <w:rsid w:val="00B14FE4"/>
    <w:rsid w:val="00B15994"/>
    <w:rsid w:val="00B175D0"/>
    <w:rsid w:val="00B17E11"/>
    <w:rsid w:val="00B20487"/>
    <w:rsid w:val="00B20B4D"/>
    <w:rsid w:val="00B20C60"/>
    <w:rsid w:val="00B21327"/>
    <w:rsid w:val="00B214A6"/>
    <w:rsid w:val="00B21612"/>
    <w:rsid w:val="00B228F5"/>
    <w:rsid w:val="00B228FA"/>
    <w:rsid w:val="00B22B8D"/>
    <w:rsid w:val="00B22F4C"/>
    <w:rsid w:val="00B231AF"/>
    <w:rsid w:val="00B231D7"/>
    <w:rsid w:val="00B23377"/>
    <w:rsid w:val="00B233EA"/>
    <w:rsid w:val="00B23497"/>
    <w:rsid w:val="00B23E84"/>
    <w:rsid w:val="00B240A0"/>
    <w:rsid w:val="00B244EB"/>
    <w:rsid w:val="00B24ED5"/>
    <w:rsid w:val="00B251CF"/>
    <w:rsid w:val="00B252D8"/>
    <w:rsid w:val="00B253A1"/>
    <w:rsid w:val="00B254B1"/>
    <w:rsid w:val="00B25E4F"/>
    <w:rsid w:val="00B25E5B"/>
    <w:rsid w:val="00B2634B"/>
    <w:rsid w:val="00B264D7"/>
    <w:rsid w:val="00B26A4D"/>
    <w:rsid w:val="00B26CB6"/>
    <w:rsid w:val="00B27010"/>
    <w:rsid w:val="00B27A24"/>
    <w:rsid w:val="00B30027"/>
    <w:rsid w:val="00B302EE"/>
    <w:rsid w:val="00B303DD"/>
    <w:rsid w:val="00B303E9"/>
    <w:rsid w:val="00B3094B"/>
    <w:rsid w:val="00B30B08"/>
    <w:rsid w:val="00B318F0"/>
    <w:rsid w:val="00B31D69"/>
    <w:rsid w:val="00B32031"/>
    <w:rsid w:val="00B32C8A"/>
    <w:rsid w:val="00B32E47"/>
    <w:rsid w:val="00B3352E"/>
    <w:rsid w:val="00B3373B"/>
    <w:rsid w:val="00B33788"/>
    <w:rsid w:val="00B33ACB"/>
    <w:rsid w:val="00B33C04"/>
    <w:rsid w:val="00B34062"/>
    <w:rsid w:val="00B34273"/>
    <w:rsid w:val="00B343B5"/>
    <w:rsid w:val="00B34674"/>
    <w:rsid w:val="00B35074"/>
    <w:rsid w:val="00B350CC"/>
    <w:rsid w:val="00B351DC"/>
    <w:rsid w:val="00B358B7"/>
    <w:rsid w:val="00B35A44"/>
    <w:rsid w:val="00B36305"/>
    <w:rsid w:val="00B363D9"/>
    <w:rsid w:val="00B36903"/>
    <w:rsid w:val="00B36DB6"/>
    <w:rsid w:val="00B3727C"/>
    <w:rsid w:val="00B374D0"/>
    <w:rsid w:val="00B37725"/>
    <w:rsid w:val="00B4016C"/>
    <w:rsid w:val="00B401B0"/>
    <w:rsid w:val="00B405E5"/>
    <w:rsid w:val="00B40929"/>
    <w:rsid w:val="00B40968"/>
    <w:rsid w:val="00B40996"/>
    <w:rsid w:val="00B409AA"/>
    <w:rsid w:val="00B416C9"/>
    <w:rsid w:val="00B41D13"/>
    <w:rsid w:val="00B41E21"/>
    <w:rsid w:val="00B421F7"/>
    <w:rsid w:val="00B4223E"/>
    <w:rsid w:val="00B42700"/>
    <w:rsid w:val="00B42761"/>
    <w:rsid w:val="00B42E38"/>
    <w:rsid w:val="00B42E90"/>
    <w:rsid w:val="00B43187"/>
    <w:rsid w:val="00B43255"/>
    <w:rsid w:val="00B4346D"/>
    <w:rsid w:val="00B43A1C"/>
    <w:rsid w:val="00B43D2C"/>
    <w:rsid w:val="00B43DF4"/>
    <w:rsid w:val="00B440A9"/>
    <w:rsid w:val="00B4446A"/>
    <w:rsid w:val="00B4478B"/>
    <w:rsid w:val="00B4495F"/>
    <w:rsid w:val="00B45591"/>
    <w:rsid w:val="00B456DB"/>
    <w:rsid w:val="00B45932"/>
    <w:rsid w:val="00B45B0A"/>
    <w:rsid w:val="00B45BA9"/>
    <w:rsid w:val="00B45D1B"/>
    <w:rsid w:val="00B45ED5"/>
    <w:rsid w:val="00B45FEC"/>
    <w:rsid w:val="00B460B2"/>
    <w:rsid w:val="00B4616A"/>
    <w:rsid w:val="00B46236"/>
    <w:rsid w:val="00B462F3"/>
    <w:rsid w:val="00B46633"/>
    <w:rsid w:val="00B46BC5"/>
    <w:rsid w:val="00B46D8A"/>
    <w:rsid w:val="00B46E7C"/>
    <w:rsid w:val="00B473CA"/>
    <w:rsid w:val="00B4744A"/>
    <w:rsid w:val="00B4756E"/>
    <w:rsid w:val="00B507B6"/>
    <w:rsid w:val="00B513FB"/>
    <w:rsid w:val="00B5180C"/>
    <w:rsid w:val="00B51A01"/>
    <w:rsid w:val="00B51B86"/>
    <w:rsid w:val="00B51BA0"/>
    <w:rsid w:val="00B51BD0"/>
    <w:rsid w:val="00B51EFB"/>
    <w:rsid w:val="00B5203A"/>
    <w:rsid w:val="00B5256D"/>
    <w:rsid w:val="00B526C1"/>
    <w:rsid w:val="00B53921"/>
    <w:rsid w:val="00B53AD0"/>
    <w:rsid w:val="00B53EC5"/>
    <w:rsid w:val="00B5425C"/>
    <w:rsid w:val="00B550EC"/>
    <w:rsid w:val="00B55146"/>
    <w:rsid w:val="00B5569A"/>
    <w:rsid w:val="00B561BC"/>
    <w:rsid w:val="00B5690D"/>
    <w:rsid w:val="00B56925"/>
    <w:rsid w:val="00B56CDF"/>
    <w:rsid w:val="00B56D69"/>
    <w:rsid w:val="00B57003"/>
    <w:rsid w:val="00B57373"/>
    <w:rsid w:val="00B57680"/>
    <w:rsid w:val="00B601C1"/>
    <w:rsid w:val="00B61960"/>
    <w:rsid w:val="00B61992"/>
    <w:rsid w:val="00B61EDD"/>
    <w:rsid w:val="00B62030"/>
    <w:rsid w:val="00B62496"/>
    <w:rsid w:val="00B62E8F"/>
    <w:rsid w:val="00B63148"/>
    <w:rsid w:val="00B645AF"/>
    <w:rsid w:val="00B65034"/>
    <w:rsid w:val="00B653A9"/>
    <w:rsid w:val="00B65561"/>
    <w:rsid w:val="00B66255"/>
    <w:rsid w:val="00B66566"/>
    <w:rsid w:val="00B66ABC"/>
    <w:rsid w:val="00B66BCF"/>
    <w:rsid w:val="00B67684"/>
    <w:rsid w:val="00B67D15"/>
    <w:rsid w:val="00B70215"/>
    <w:rsid w:val="00B70FC8"/>
    <w:rsid w:val="00B71009"/>
    <w:rsid w:val="00B71409"/>
    <w:rsid w:val="00B7189D"/>
    <w:rsid w:val="00B71DD4"/>
    <w:rsid w:val="00B72332"/>
    <w:rsid w:val="00B7372E"/>
    <w:rsid w:val="00B73A6A"/>
    <w:rsid w:val="00B740D8"/>
    <w:rsid w:val="00B74568"/>
    <w:rsid w:val="00B75635"/>
    <w:rsid w:val="00B766AC"/>
    <w:rsid w:val="00B7744E"/>
    <w:rsid w:val="00B77540"/>
    <w:rsid w:val="00B77B4B"/>
    <w:rsid w:val="00B77C80"/>
    <w:rsid w:val="00B77ED8"/>
    <w:rsid w:val="00B80B1C"/>
    <w:rsid w:val="00B80DC4"/>
    <w:rsid w:val="00B80DF7"/>
    <w:rsid w:val="00B81309"/>
    <w:rsid w:val="00B82038"/>
    <w:rsid w:val="00B82638"/>
    <w:rsid w:val="00B82846"/>
    <w:rsid w:val="00B82E6A"/>
    <w:rsid w:val="00B8303A"/>
    <w:rsid w:val="00B834FE"/>
    <w:rsid w:val="00B83B6C"/>
    <w:rsid w:val="00B8406F"/>
    <w:rsid w:val="00B846EE"/>
    <w:rsid w:val="00B84C7A"/>
    <w:rsid w:val="00B84DAC"/>
    <w:rsid w:val="00B84EE9"/>
    <w:rsid w:val="00B854DC"/>
    <w:rsid w:val="00B85A9B"/>
    <w:rsid w:val="00B8604C"/>
    <w:rsid w:val="00B863FC"/>
    <w:rsid w:val="00B86A4F"/>
    <w:rsid w:val="00B86E3B"/>
    <w:rsid w:val="00B8754E"/>
    <w:rsid w:val="00B87560"/>
    <w:rsid w:val="00B87708"/>
    <w:rsid w:val="00B879B4"/>
    <w:rsid w:val="00B879DF"/>
    <w:rsid w:val="00B87B57"/>
    <w:rsid w:val="00B87C24"/>
    <w:rsid w:val="00B87EB2"/>
    <w:rsid w:val="00B90651"/>
    <w:rsid w:val="00B907EE"/>
    <w:rsid w:val="00B90A97"/>
    <w:rsid w:val="00B90ADB"/>
    <w:rsid w:val="00B9116D"/>
    <w:rsid w:val="00B911FF"/>
    <w:rsid w:val="00B9136D"/>
    <w:rsid w:val="00B913A4"/>
    <w:rsid w:val="00B916D7"/>
    <w:rsid w:val="00B91768"/>
    <w:rsid w:val="00B924A4"/>
    <w:rsid w:val="00B92604"/>
    <w:rsid w:val="00B92983"/>
    <w:rsid w:val="00B92E4C"/>
    <w:rsid w:val="00B92ED6"/>
    <w:rsid w:val="00B93FE9"/>
    <w:rsid w:val="00B943AA"/>
    <w:rsid w:val="00B944ED"/>
    <w:rsid w:val="00B94D7F"/>
    <w:rsid w:val="00B94E1C"/>
    <w:rsid w:val="00B9518B"/>
    <w:rsid w:val="00B96293"/>
    <w:rsid w:val="00B97CC0"/>
    <w:rsid w:val="00B97E0B"/>
    <w:rsid w:val="00B97EF6"/>
    <w:rsid w:val="00BA0718"/>
    <w:rsid w:val="00BA2897"/>
    <w:rsid w:val="00BA2EBE"/>
    <w:rsid w:val="00BA39BA"/>
    <w:rsid w:val="00BA3B43"/>
    <w:rsid w:val="00BA40BF"/>
    <w:rsid w:val="00BA4245"/>
    <w:rsid w:val="00BA4514"/>
    <w:rsid w:val="00BA4B58"/>
    <w:rsid w:val="00BA4B9A"/>
    <w:rsid w:val="00BA5FFF"/>
    <w:rsid w:val="00BA697B"/>
    <w:rsid w:val="00BA6E9B"/>
    <w:rsid w:val="00BA784C"/>
    <w:rsid w:val="00BA7A2E"/>
    <w:rsid w:val="00BB00E3"/>
    <w:rsid w:val="00BB0BC8"/>
    <w:rsid w:val="00BB136A"/>
    <w:rsid w:val="00BB13FA"/>
    <w:rsid w:val="00BB1479"/>
    <w:rsid w:val="00BB17D7"/>
    <w:rsid w:val="00BB1B33"/>
    <w:rsid w:val="00BB205D"/>
    <w:rsid w:val="00BB2469"/>
    <w:rsid w:val="00BB2B82"/>
    <w:rsid w:val="00BB2EA6"/>
    <w:rsid w:val="00BB3E6E"/>
    <w:rsid w:val="00BB4174"/>
    <w:rsid w:val="00BB49E1"/>
    <w:rsid w:val="00BB4B61"/>
    <w:rsid w:val="00BB4DB8"/>
    <w:rsid w:val="00BB539F"/>
    <w:rsid w:val="00BB5B0C"/>
    <w:rsid w:val="00BB5E21"/>
    <w:rsid w:val="00BB635C"/>
    <w:rsid w:val="00BB6A9D"/>
    <w:rsid w:val="00BB6DAA"/>
    <w:rsid w:val="00BB6ED8"/>
    <w:rsid w:val="00BB6F05"/>
    <w:rsid w:val="00BB6FCA"/>
    <w:rsid w:val="00BB7228"/>
    <w:rsid w:val="00BB763B"/>
    <w:rsid w:val="00BB7D14"/>
    <w:rsid w:val="00BB7E46"/>
    <w:rsid w:val="00BC007A"/>
    <w:rsid w:val="00BC02D1"/>
    <w:rsid w:val="00BC030F"/>
    <w:rsid w:val="00BC0488"/>
    <w:rsid w:val="00BC0A48"/>
    <w:rsid w:val="00BC0A65"/>
    <w:rsid w:val="00BC0AAC"/>
    <w:rsid w:val="00BC0C21"/>
    <w:rsid w:val="00BC1022"/>
    <w:rsid w:val="00BC1C4D"/>
    <w:rsid w:val="00BC1CE0"/>
    <w:rsid w:val="00BC2A50"/>
    <w:rsid w:val="00BC2A94"/>
    <w:rsid w:val="00BC2BED"/>
    <w:rsid w:val="00BC2DB1"/>
    <w:rsid w:val="00BC2F1B"/>
    <w:rsid w:val="00BC32F5"/>
    <w:rsid w:val="00BC4896"/>
    <w:rsid w:val="00BC4B29"/>
    <w:rsid w:val="00BC4DD5"/>
    <w:rsid w:val="00BC4E77"/>
    <w:rsid w:val="00BC57C0"/>
    <w:rsid w:val="00BC593C"/>
    <w:rsid w:val="00BC5CB0"/>
    <w:rsid w:val="00BC5EA7"/>
    <w:rsid w:val="00BC60C4"/>
    <w:rsid w:val="00BC62A6"/>
    <w:rsid w:val="00BC65DF"/>
    <w:rsid w:val="00BC66A7"/>
    <w:rsid w:val="00BC675C"/>
    <w:rsid w:val="00BC6936"/>
    <w:rsid w:val="00BC6A2D"/>
    <w:rsid w:val="00BC6D6D"/>
    <w:rsid w:val="00BC6E33"/>
    <w:rsid w:val="00BC7574"/>
    <w:rsid w:val="00BC75BE"/>
    <w:rsid w:val="00BC7DC7"/>
    <w:rsid w:val="00BC7E12"/>
    <w:rsid w:val="00BD0C79"/>
    <w:rsid w:val="00BD17A6"/>
    <w:rsid w:val="00BD1C12"/>
    <w:rsid w:val="00BD1D2E"/>
    <w:rsid w:val="00BD1E42"/>
    <w:rsid w:val="00BD1EAD"/>
    <w:rsid w:val="00BD2546"/>
    <w:rsid w:val="00BD25F2"/>
    <w:rsid w:val="00BD2794"/>
    <w:rsid w:val="00BD294C"/>
    <w:rsid w:val="00BD3187"/>
    <w:rsid w:val="00BD32BC"/>
    <w:rsid w:val="00BD37FC"/>
    <w:rsid w:val="00BD3E06"/>
    <w:rsid w:val="00BD47D7"/>
    <w:rsid w:val="00BD4F3F"/>
    <w:rsid w:val="00BD540D"/>
    <w:rsid w:val="00BD5805"/>
    <w:rsid w:val="00BD5C4D"/>
    <w:rsid w:val="00BD6145"/>
    <w:rsid w:val="00BD685D"/>
    <w:rsid w:val="00BD6D9D"/>
    <w:rsid w:val="00BD6E77"/>
    <w:rsid w:val="00BD7408"/>
    <w:rsid w:val="00BD77D5"/>
    <w:rsid w:val="00BD783E"/>
    <w:rsid w:val="00BD7A09"/>
    <w:rsid w:val="00BE09F7"/>
    <w:rsid w:val="00BE10FA"/>
    <w:rsid w:val="00BE1448"/>
    <w:rsid w:val="00BE1685"/>
    <w:rsid w:val="00BE1819"/>
    <w:rsid w:val="00BE1A76"/>
    <w:rsid w:val="00BE1AB2"/>
    <w:rsid w:val="00BE1F1D"/>
    <w:rsid w:val="00BE23B6"/>
    <w:rsid w:val="00BE27B0"/>
    <w:rsid w:val="00BE2D6D"/>
    <w:rsid w:val="00BE2DF9"/>
    <w:rsid w:val="00BE2F63"/>
    <w:rsid w:val="00BE303C"/>
    <w:rsid w:val="00BE310F"/>
    <w:rsid w:val="00BE3C8B"/>
    <w:rsid w:val="00BE3E23"/>
    <w:rsid w:val="00BE3F42"/>
    <w:rsid w:val="00BE4342"/>
    <w:rsid w:val="00BE4973"/>
    <w:rsid w:val="00BE4981"/>
    <w:rsid w:val="00BE509E"/>
    <w:rsid w:val="00BE509F"/>
    <w:rsid w:val="00BE5118"/>
    <w:rsid w:val="00BE55D0"/>
    <w:rsid w:val="00BE5724"/>
    <w:rsid w:val="00BE572C"/>
    <w:rsid w:val="00BE5798"/>
    <w:rsid w:val="00BE5913"/>
    <w:rsid w:val="00BE5937"/>
    <w:rsid w:val="00BE5A02"/>
    <w:rsid w:val="00BE61A8"/>
    <w:rsid w:val="00BE61EE"/>
    <w:rsid w:val="00BE6618"/>
    <w:rsid w:val="00BE6A62"/>
    <w:rsid w:val="00BE6F22"/>
    <w:rsid w:val="00BE78D2"/>
    <w:rsid w:val="00BF0374"/>
    <w:rsid w:val="00BF06EF"/>
    <w:rsid w:val="00BF0945"/>
    <w:rsid w:val="00BF1BF9"/>
    <w:rsid w:val="00BF1F7D"/>
    <w:rsid w:val="00BF21AC"/>
    <w:rsid w:val="00BF229C"/>
    <w:rsid w:val="00BF266C"/>
    <w:rsid w:val="00BF2CE6"/>
    <w:rsid w:val="00BF3614"/>
    <w:rsid w:val="00BF377E"/>
    <w:rsid w:val="00BF38B8"/>
    <w:rsid w:val="00BF3F85"/>
    <w:rsid w:val="00BF402A"/>
    <w:rsid w:val="00BF4DC6"/>
    <w:rsid w:val="00BF4F84"/>
    <w:rsid w:val="00BF5624"/>
    <w:rsid w:val="00BF61CE"/>
    <w:rsid w:val="00BF6486"/>
    <w:rsid w:val="00BF661C"/>
    <w:rsid w:val="00BF6CA5"/>
    <w:rsid w:val="00BF6D00"/>
    <w:rsid w:val="00BF705C"/>
    <w:rsid w:val="00BF737E"/>
    <w:rsid w:val="00BF791F"/>
    <w:rsid w:val="00C00282"/>
    <w:rsid w:val="00C009F9"/>
    <w:rsid w:val="00C00A01"/>
    <w:rsid w:val="00C00E65"/>
    <w:rsid w:val="00C010E8"/>
    <w:rsid w:val="00C018F6"/>
    <w:rsid w:val="00C01A49"/>
    <w:rsid w:val="00C02139"/>
    <w:rsid w:val="00C0312D"/>
    <w:rsid w:val="00C03413"/>
    <w:rsid w:val="00C0352B"/>
    <w:rsid w:val="00C03AD7"/>
    <w:rsid w:val="00C04390"/>
    <w:rsid w:val="00C044A0"/>
    <w:rsid w:val="00C05CFC"/>
    <w:rsid w:val="00C05DFF"/>
    <w:rsid w:val="00C05E8B"/>
    <w:rsid w:val="00C0603B"/>
    <w:rsid w:val="00C062D5"/>
    <w:rsid w:val="00C065CE"/>
    <w:rsid w:val="00C0718E"/>
    <w:rsid w:val="00C10146"/>
    <w:rsid w:val="00C1052C"/>
    <w:rsid w:val="00C107B8"/>
    <w:rsid w:val="00C10C39"/>
    <w:rsid w:val="00C116C2"/>
    <w:rsid w:val="00C12119"/>
    <w:rsid w:val="00C12E2D"/>
    <w:rsid w:val="00C133D9"/>
    <w:rsid w:val="00C139A5"/>
    <w:rsid w:val="00C13EA0"/>
    <w:rsid w:val="00C140F4"/>
    <w:rsid w:val="00C1412F"/>
    <w:rsid w:val="00C14188"/>
    <w:rsid w:val="00C14373"/>
    <w:rsid w:val="00C14F56"/>
    <w:rsid w:val="00C167D5"/>
    <w:rsid w:val="00C16DF2"/>
    <w:rsid w:val="00C171E0"/>
    <w:rsid w:val="00C1739F"/>
    <w:rsid w:val="00C174CC"/>
    <w:rsid w:val="00C17EA5"/>
    <w:rsid w:val="00C17F59"/>
    <w:rsid w:val="00C200D6"/>
    <w:rsid w:val="00C2076D"/>
    <w:rsid w:val="00C20A19"/>
    <w:rsid w:val="00C210C1"/>
    <w:rsid w:val="00C21153"/>
    <w:rsid w:val="00C21686"/>
    <w:rsid w:val="00C222A1"/>
    <w:rsid w:val="00C226A0"/>
    <w:rsid w:val="00C22A46"/>
    <w:rsid w:val="00C22AE7"/>
    <w:rsid w:val="00C22BE4"/>
    <w:rsid w:val="00C22CB1"/>
    <w:rsid w:val="00C23265"/>
    <w:rsid w:val="00C237BE"/>
    <w:rsid w:val="00C237FE"/>
    <w:rsid w:val="00C2385E"/>
    <w:rsid w:val="00C23BBC"/>
    <w:rsid w:val="00C23C3E"/>
    <w:rsid w:val="00C23FB0"/>
    <w:rsid w:val="00C2413F"/>
    <w:rsid w:val="00C246C9"/>
    <w:rsid w:val="00C2491D"/>
    <w:rsid w:val="00C24BC6"/>
    <w:rsid w:val="00C24EB9"/>
    <w:rsid w:val="00C2583E"/>
    <w:rsid w:val="00C25E22"/>
    <w:rsid w:val="00C2667D"/>
    <w:rsid w:val="00C266C8"/>
    <w:rsid w:val="00C26F19"/>
    <w:rsid w:val="00C2758C"/>
    <w:rsid w:val="00C277EF"/>
    <w:rsid w:val="00C27E95"/>
    <w:rsid w:val="00C27EE3"/>
    <w:rsid w:val="00C303A9"/>
    <w:rsid w:val="00C3051F"/>
    <w:rsid w:val="00C30734"/>
    <w:rsid w:val="00C309A8"/>
    <w:rsid w:val="00C30CE1"/>
    <w:rsid w:val="00C310F7"/>
    <w:rsid w:val="00C315BE"/>
    <w:rsid w:val="00C31609"/>
    <w:rsid w:val="00C32286"/>
    <w:rsid w:val="00C32501"/>
    <w:rsid w:val="00C32B7C"/>
    <w:rsid w:val="00C32BF9"/>
    <w:rsid w:val="00C336A0"/>
    <w:rsid w:val="00C33F3D"/>
    <w:rsid w:val="00C341F9"/>
    <w:rsid w:val="00C342BD"/>
    <w:rsid w:val="00C356BB"/>
    <w:rsid w:val="00C35D0D"/>
    <w:rsid w:val="00C35EB8"/>
    <w:rsid w:val="00C36699"/>
    <w:rsid w:val="00C36AFE"/>
    <w:rsid w:val="00C36E0A"/>
    <w:rsid w:val="00C3722E"/>
    <w:rsid w:val="00C373D8"/>
    <w:rsid w:val="00C37422"/>
    <w:rsid w:val="00C3751F"/>
    <w:rsid w:val="00C3754A"/>
    <w:rsid w:val="00C378AB"/>
    <w:rsid w:val="00C37989"/>
    <w:rsid w:val="00C37F97"/>
    <w:rsid w:val="00C406FF"/>
    <w:rsid w:val="00C407B9"/>
    <w:rsid w:val="00C40DCE"/>
    <w:rsid w:val="00C4143E"/>
    <w:rsid w:val="00C417A9"/>
    <w:rsid w:val="00C41B42"/>
    <w:rsid w:val="00C4213D"/>
    <w:rsid w:val="00C431A4"/>
    <w:rsid w:val="00C437F8"/>
    <w:rsid w:val="00C43EC4"/>
    <w:rsid w:val="00C44B88"/>
    <w:rsid w:val="00C44CB1"/>
    <w:rsid w:val="00C45497"/>
    <w:rsid w:val="00C4552E"/>
    <w:rsid w:val="00C45CC9"/>
    <w:rsid w:val="00C46BE2"/>
    <w:rsid w:val="00C472DB"/>
    <w:rsid w:val="00C476F1"/>
    <w:rsid w:val="00C47B77"/>
    <w:rsid w:val="00C50022"/>
    <w:rsid w:val="00C500E5"/>
    <w:rsid w:val="00C5032A"/>
    <w:rsid w:val="00C50938"/>
    <w:rsid w:val="00C50ACE"/>
    <w:rsid w:val="00C50DD0"/>
    <w:rsid w:val="00C512FD"/>
    <w:rsid w:val="00C5171D"/>
    <w:rsid w:val="00C5186C"/>
    <w:rsid w:val="00C51B19"/>
    <w:rsid w:val="00C51B5E"/>
    <w:rsid w:val="00C52054"/>
    <w:rsid w:val="00C53D65"/>
    <w:rsid w:val="00C53DDC"/>
    <w:rsid w:val="00C54240"/>
    <w:rsid w:val="00C5499A"/>
    <w:rsid w:val="00C54A66"/>
    <w:rsid w:val="00C54BCE"/>
    <w:rsid w:val="00C54FAE"/>
    <w:rsid w:val="00C55408"/>
    <w:rsid w:val="00C55EBB"/>
    <w:rsid w:val="00C56123"/>
    <w:rsid w:val="00C562CB"/>
    <w:rsid w:val="00C5758E"/>
    <w:rsid w:val="00C607ED"/>
    <w:rsid w:val="00C60B38"/>
    <w:rsid w:val="00C616C1"/>
    <w:rsid w:val="00C618C0"/>
    <w:rsid w:val="00C622B0"/>
    <w:rsid w:val="00C62610"/>
    <w:rsid w:val="00C62BF2"/>
    <w:rsid w:val="00C62C91"/>
    <w:rsid w:val="00C6317F"/>
    <w:rsid w:val="00C63345"/>
    <w:rsid w:val="00C633C5"/>
    <w:rsid w:val="00C640D8"/>
    <w:rsid w:val="00C6420A"/>
    <w:rsid w:val="00C64B3C"/>
    <w:rsid w:val="00C65E9F"/>
    <w:rsid w:val="00C65EB4"/>
    <w:rsid w:val="00C6600D"/>
    <w:rsid w:val="00C6627A"/>
    <w:rsid w:val="00C6628F"/>
    <w:rsid w:val="00C66BCC"/>
    <w:rsid w:val="00C66D12"/>
    <w:rsid w:val="00C66EE2"/>
    <w:rsid w:val="00C6739A"/>
    <w:rsid w:val="00C674F1"/>
    <w:rsid w:val="00C67C26"/>
    <w:rsid w:val="00C702A7"/>
    <w:rsid w:val="00C702EB"/>
    <w:rsid w:val="00C70424"/>
    <w:rsid w:val="00C7057C"/>
    <w:rsid w:val="00C70DF2"/>
    <w:rsid w:val="00C7141F"/>
    <w:rsid w:val="00C7178D"/>
    <w:rsid w:val="00C72408"/>
    <w:rsid w:val="00C72534"/>
    <w:rsid w:val="00C72652"/>
    <w:rsid w:val="00C72922"/>
    <w:rsid w:val="00C72B28"/>
    <w:rsid w:val="00C73064"/>
    <w:rsid w:val="00C731A1"/>
    <w:rsid w:val="00C731D0"/>
    <w:rsid w:val="00C7349A"/>
    <w:rsid w:val="00C73511"/>
    <w:rsid w:val="00C73683"/>
    <w:rsid w:val="00C736D6"/>
    <w:rsid w:val="00C73D1B"/>
    <w:rsid w:val="00C73F38"/>
    <w:rsid w:val="00C74238"/>
    <w:rsid w:val="00C742A8"/>
    <w:rsid w:val="00C74D16"/>
    <w:rsid w:val="00C74EC1"/>
    <w:rsid w:val="00C754C1"/>
    <w:rsid w:val="00C75523"/>
    <w:rsid w:val="00C75AA4"/>
    <w:rsid w:val="00C766ED"/>
    <w:rsid w:val="00C76BAF"/>
    <w:rsid w:val="00C76BEC"/>
    <w:rsid w:val="00C76EF4"/>
    <w:rsid w:val="00C7712F"/>
    <w:rsid w:val="00C77157"/>
    <w:rsid w:val="00C773C9"/>
    <w:rsid w:val="00C7748C"/>
    <w:rsid w:val="00C77E51"/>
    <w:rsid w:val="00C77E6D"/>
    <w:rsid w:val="00C77FE7"/>
    <w:rsid w:val="00C80072"/>
    <w:rsid w:val="00C80247"/>
    <w:rsid w:val="00C807F9"/>
    <w:rsid w:val="00C808E3"/>
    <w:rsid w:val="00C80989"/>
    <w:rsid w:val="00C81B52"/>
    <w:rsid w:val="00C81EEB"/>
    <w:rsid w:val="00C81F10"/>
    <w:rsid w:val="00C82E07"/>
    <w:rsid w:val="00C82F1C"/>
    <w:rsid w:val="00C83100"/>
    <w:rsid w:val="00C83EDA"/>
    <w:rsid w:val="00C84102"/>
    <w:rsid w:val="00C841FA"/>
    <w:rsid w:val="00C842AA"/>
    <w:rsid w:val="00C84600"/>
    <w:rsid w:val="00C8535E"/>
    <w:rsid w:val="00C854D0"/>
    <w:rsid w:val="00C859D7"/>
    <w:rsid w:val="00C85AD3"/>
    <w:rsid w:val="00C85CA7"/>
    <w:rsid w:val="00C85CBE"/>
    <w:rsid w:val="00C87677"/>
    <w:rsid w:val="00C87D9C"/>
    <w:rsid w:val="00C87ECA"/>
    <w:rsid w:val="00C909F2"/>
    <w:rsid w:val="00C90EB5"/>
    <w:rsid w:val="00C91157"/>
    <w:rsid w:val="00C9170B"/>
    <w:rsid w:val="00C91B1F"/>
    <w:rsid w:val="00C91B96"/>
    <w:rsid w:val="00C9280A"/>
    <w:rsid w:val="00C92864"/>
    <w:rsid w:val="00C928D6"/>
    <w:rsid w:val="00C92D4A"/>
    <w:rsid w:val="00C92D61"/>
    <w:rsid w:val="00C93202"/>
    <w:rsid w:val="00C93428"/>
    <w:rsid w:val="00C9383E"/>
    <w:rsid w:val="00C938F1"/>
    <w:rsid w:val="00C93B1D"/>
    <w:rsid w:val="00C93C4A"/>
    <w:rsid w:val="00C94DDD"/>
    <w:rsid w:val="00C957FD"/>
    <w:rsid w:val="00C95E0A"/>
    <w:rsid w:val="00C95E91"/>
    <w:rsid w:val="00C964A1"/>
    <w:rsid w:val="00C96520"/>
    <w:rsid w:val="00C968C5"/>
    <w:rsid w:val="00C96A1E"/>
    <w:rsid w:val="00C97504"/>
    <w:rsid w:val="00C97621"/>
    <w:rsid w:val="00C97C94"/>
    <w:rsid w:val="00CA0338"/>
    <w:rsid w:val="00CA05D4"/>
    <w:rsid w:val="00CA07AB"/>
    <w:rsid w:val="00CA07CB"/>
    <w:rsid w:val="00CA07EB"/>
    <w:rsid w:val="00CA0E3F"/>
    <w:rsid w:val="00CA0EBA"/>
    <w:rsid w:val="00CA0EFC"/>
    <w:rsid w:val="00CA104A"/>
    <w:rsid w:val="00CA10BB"/>
    <w:rsid w:val="00CA115B"/>
    <w:rsid w:val="00CA12DA"/>
    <w:rsid w:val="00CA156F"/>
    <w:rsid w:val="00CA2444"/>
    <w:rsid w:val="00CA2778"/>
    <w:rsid w:val="00CA2B5C"/>
    <w:rsid w:val="00CA2FB5"/>
    <w:rsid w:val="00CA3C3E"/>
    <w:rsid w:val="00CA3FE4"/>
    <w:rsid w:val="00CA44A8"/>
    <w:rsid w:val="00CA4BD3"/>
    <w:rsid w:val="00CA4EC1"/>
    <w:rsid w:val="00CA4F03"/>
    <w:rsid w:val="00CA547B"/>
    <w:rsid w:val="00CA5A93"/>
    <w:rsid w:val="00CA65BC"/>
    <w:rsid w:val="00CA7214"/>
    <w:rsid w:val="00CA75EA"/>
    <w:rsid w:val="00CA76E9"/>
    <w:rsid w:val="00CA7CB9"/>
    <w:rsid w:val="00CB0610"/>
    <w:rsid w:val="00CB0A41"/>
    <w:rsid w:val="00CB177C"/>
    <w:rsid w:val="00CB1807"/>
    <w:rsid w:val="00CB18F5"/>
    <w:rsid w:val="00CB1F5A"/>
    <w:rsid w:val="00CB21EE"/>
    <w:rsid w:val="00CB30BA"/>
    <w:rsid w:val="00CB3E65"/>
    <w:rsid w:val="00CB3EA0"/>
    <w:rsid w:val="00CB3F20"/>
    <w:rsid w:val="00CB3FB0"/>
    <w:rsid w:val="00CB4304"/>
    <w:rsid w:val="00CB4B50"/>
    <w:rsid w:val="00CB4D42"/>
    <w:rsid w:val="00CB4D6B"/>
    <w:rsid w:val="00CB4EA9"/>
    <w:rsid w:val="00CB4ED3"/>
    <w:rsid w:val="00CB5047"/>
    <w:rsid w:val="00CB5326"/>
    <w:rsid w:val="00CB559D"/>
    <w:rsid w:val="00CB57E9"/>
    <w:rsid w:val="00CB581F"/>
    <w:rsid w:val="00CB60D6"/>
    <w:rsid w:val="00CB68A7"/>
    <w:rsid w:val="00CB68EF"/>
    <w:rsid w:val="00CB69B2"/>
    <w:rsid w:val="00CB6A6F"/>
    <w:rsid w:val="00CB6F08"/>
    <w:rsid w:val="00CB6F15"/>
    <w:rsid w:val="00CB7393"/>
    <w:rsid w:val="00CB76CA"/>
    <w:rsid w:val="00CB7BDF"/>
    <w:rsid w:val="00CC03CE"/>
    <w:rsid w:val="00CC05DD"/>
    <w:rsid w:val="00CC106A"/>
    <w:rsid w:val="00CC1F7A"/>
    <w:rsid w:val="00CC2096"/>
    <w:rsid w:val="00CC377C"/>
    <w:rsid w:val="00CC38D6"/>
    <w:rsid w:val="00CC3BA9"/>
    <w:rsid w:val="00CC4169"/>
    <w:rsid w:val="00CC449D"/>
    <w:rsid w:val="00CC4764"/>
    <w:rsid w:val="00CC4C02"/>
    <w:rsid w:val="00CC4D3D"/>
    <w:rsid w:val="00CC52C6"/>
    <w:rsid w:val="00CC57CF"/>
    <w:rsid w:val="00CC58F0"/>
    <w:rsid w:val="00CC5BC8"/>
    <w:rsid w:val="00CC5BE3"/>
    <w:rsid w:val="00CC5FEB"/>
    <w:rsid w:val="00CC640C"/>
    <w:rsid w:val="00CC67A5"/>
    <w:rsid w:val="00CC714C"/>
    <w:rsid w:val="00CC7262"/>
    <w:rsid w:val="00CC75C3"/>
    <w:rsid w:val="00CC76C0"/>
    <w:rsid w:val="00CC7F67"/>
    <w:rsid w:val="00CD00A0"/>
    <w:rsid w:val="00CD02A9"/>
    <w:rsid w:val="00CD09E2"/>
    <w:rsid w:val="00CD0B19"/>
    <w:rsid w:val="00CD102B"/>
    <w:rsid w:val="00CD1078"/>
    <w:rsid w:val="00CD1253"/>
    <w:rsid w:val="00CD19D2"/>
    <w:rsid w:val="00CD1ECD"/>
    <w:rsid w:val="00CD2615"/>
    <w:rsid w:val="00CD326F"/>
    <w:rsid w:val="00CD33B0"/>
    <w:rsid w:val="00CD378D"/>
    <w:rsid w:val="00CD38E3"/>
    <w:rsid w:val="00CD413A"/>
    <w:rsid w:val="00CD421B"/>
    <w:rsid w:val="00CD4385"/>
    <w:rsid w:val="00CD487C"/>
    <w:rsid w:val="00CD4CAB"/>
    <w:rsid w:val="00CD53B1"/>
    <w:rsid w:val="00CD57C6"/>
    <w:rsid w:val="00CD595D"/>
    <w:rsid w:val="00CD6123"/>
    <w:rsid w:val="00CD66B0"/>
    <w:rsid w:val="00CD67ED"/>
    <w:rsid w:val="00CD7424"/>
    <w:rsid w:val="00CD7891"/>
    <w:rsid w:val="00CD7D91"/>
    <w:rsid w:val="00CE008C"/>
    <w:rsid w:val="00CE1481"/>
    <w:rsid w:val="00CE1623"/>
    <w:rsid w:val="00CE16D9"/>
    <w:rsid w:val="00CE1CC6"/>
    <w:rsid w:val="00CE20A3"/>
    <w:rsid w:val="00CE25DB"/>
    <w:rsid w:val="00CE261D"/>
    <w:rsid w:val="00CE3049"/>
    <w:rsid w:val="00CE37EA"/>
    <w:rsid w:val="00CE3C1F"/>
    <w:rsid w:val="00CE42C0"/>
    <w:rsid w:val="00CE42F5"/>
    <w:rsid w:val="00CE47A4"/>
    <w:rsid w:val="00CE4841"/>
    <w:rsid w:val="00CE49A3"/>
    <w:rsid w:val="00CE4AEC"/>
    <w:rsid w:val="00CE4B7B"/>
    <w:rsid w:val="00CE4EA1"/>
    <w:rsid w:val="00CE552E"/>
    <w:rsid w:val="00CE58F3"/>
    <w:rsid w:val="00CE5D2C"/>
    <w:rsid w:val="00CE5D95"/>
    <w:rsid w:val="00CE64DC"/>
    <w:rsid w:val="00CE6C69"/>
    <w:rsid w:val="00CE6E5E"/>
    <w:rsid w:val="00CE71DE"/>
    <w:rsid w:val="00CE7721"/>
    <w:rsid w:val="00CE7ADB"/>
    <w:rsid w:val="00CE7C1A"/>
    <w:rsid w:val="00CE7CAC"/>
    <w:rsid w:val="00CF02B5"/>
    <w:rsid w:val="00CF0328"/>
    <w:rsid w:val="00CF051E"/>
    <w:rsid w:val="00CF0590"/>
    <w:rsid w:val="00CF181D"/>
    <w:rsid w:val="00CF1C96"/>
    <w:rsid w:val="00CF20ED"/>
    <w:rsid w:val="00CF2763"/>
    <w:rsid w:val="00CF3431"/>
    <w:rsid w:val="00CF3CA1"/>
    <w:rsid w:val="00CF5162"/>
    <w:rsid w:val="00CF56C2"/>
    <w:rsid w:val="00CF5AC4"/>
    <w:rsid w:val="00CF6171"/>
    <w:rsid w:val="00CF651D"/>
    <w:rsid w:val="00CF68EE"/>
    <w:rsid w:val="00CF6B44"/>
    <w:rsid w:val="00CF7391"/>
    <w:rsid w:val="00CF7A48"/>
    <w:rsid w:val="00D005EB"/>
    <w:rsid w:val="00D0098B"/>
    <w:rsid w:val="00D00A2B"/>
    <w:rsid w:val="00D00D39"/>
    <w:rsid w:val="00D01167"/>
    <w:rsid w:val="00D01840"/>
    <w:rsid w:val="00D018A4"/>
    <w:rsid w:val="00D01DCC"/>
    <w:rsid w:val="00D022F1"/>
    <w:rsid w:val="00D0269C"/>
    <w:rsid w:val="00D03166"/>
    <w:rsid w:val="00D04257"/>
    <w:rsid w:val="00D042A1"/>
    <w:rsid w:val="00D04729"/>
    <w:rsid w:val="00D04FFA"/>
    <w:rsid w:val="00D05064"/>
    <w:rsid w:val="00D050EA"/>
    <w:rsid w:val="00D052DD"/>
    <w:rsid w:val="00D05AC0"/>
    <w:rsid w:val="00D06288"/>
    <w:rsid w:val="00D06D96"/>
    <w:rsid w:val="00D06DB9"/>
    <w:rsid w:val="00D07042"/>
    <w:rsid w:val="00D0729C"/>
    <w:rsid w:val="00D07F10"/>
    <w:rsid w:val="00D10073"/>
    <w:rsid w:val="00D10272"/>
    <w:rsid w:val="00D105A2"/>
    <w:rsid w:val="00D10B9C"/>
    <w:rsid w:val="00D10FFF"/>
    <w:rsid w:val="00D1113A"/>
    <w:rsid w:val="00D111F3"/>
    <w:rsid w:val="00D114EB"/>
    <w:rsid w:val="00D11C93"/>
    <w:rsid w:val="00D129C5"/>
    <w:rsid w:val="00D12A96"/>
    <w:rsid w:val="00D12D96"/>
    <w:rsid w:val="00D12E88"/>
    <w:rsid w:val="00D13251"/>
    <w:rsid w:val="00D13F58"/>
    <w:rsid w:val="00D144FD"/>
    <w:rsid w:val="00D145E0"/>
    <w:rsid w:val="00D149B9"/>
    <w:rsid w:val="00D149E6"/>
    <w:rsid w:val="00D14BAF"/>
    <w:rsid w:val="00D14BD5"/>
    <w:rsid w:val="00D15000"/>
    <w:rsid w:val="00D154C3"/>
    <w:rsid w:val="00D16520"/>
    <w:rsid w:val="00D1691C"/>
    <w:rsid w:val="00D169FF"/>
    <w:rsid w:val="00D16CB7"/>
    <w:rsid w:val="00D16E9E"/>
    <w:rsid w:val="00D1728B"/>
    <w:rsid w:val="00D17649"/>
    <w:rsid w:val="00D17CE3"/>
    <w:rsid w:val="00D17E73"/>
    <w:rsid w:val="00D20320"/>
    <w:rsid w:val="00D20582"/>
    <w:rsid w:val="00D21325"/>
    <w:rsid w:val="00D21480"/>
    <w:rsid w:val="00D21D28"/>
    <w:rsid w:val="00D22050"/>
    <w:rsid w:val="00D227E3"/>
    <w:rsid w:val="00D22871"/>
    <w:rsid w:val="00D22DDB"/>
    <w:rsid w:val="00D232C3"/>
    <w:rsid w:val="00D234A6"/>
    <w:rsid w:val="00D238B4"/>
    <w:rsid w:val="00D23ABE"/>
    <w:rsid w:val="00D23ADF"/>
    <w:rsid w:val="00D23CEC"/>
    <w:rsid w:val="00D23DE9"/>
    <w:rsid w:val="00D24523"/>
    <w:rsid w:val="00D24680"/>
    <w:rsid w:val="00D2530B"/>
    <w:rsid w:val="00D2536D"/>
    <w:rsid w:val="00D25F32"/>
    <w:rsid w:val="00D26766"/>
    <w:rsid w:val="00D26DA1"/>
    <w:rsid w:val="00D26DF3"/>
    <w:rsid w:val="00D26F16"/>
    <w:rsid w:val="00D272D9"/>
    <w:rsid w:val="00D27320"/>
    <w:rsid w:val="00D30BC3"/>
    <w:rsid w:val="00D30C99"/>
    <w:rsid w:val="00D30C9E"/>
    <w:rsid w:val="00D31170"/>
    <w:rsid w:val="00D3165D"/>
    <w:rsid w:val="00D320CC"/>
    <w:rsid w:val="00D32748"/>
    <w:rsid w:val="00D32862"/>
    <w:rsid w:val="00D3287C"/>
    <w:rsid w:val="00D32AC0"/>
    <w:rsid w:val="00D33133"/>
    <w:rsid w:val="00D33C9C"/>
    <w:rsid w:val="00D34405"/>
    <w:rsid w:val="00D34558"/>
    <w:rsid w:val="00D347E9"/>
    <w:rsid w:val="00D34D20"/>
    <w:rsid w:val="00D34E7A"/>
    <w:rsid w:val="00D34EB0"/>
    <w:rsid w:val="00D35B74"/>
    <w:rsid w:val="00D35D38"/>
    <w:rsid w:val="00D360DC"/>
    <w:rsid w:val="00D363E3"/>
    <w:rsid w:val="00D36622"/>
    <w:rsid w:val="00D36E05"/>
    <w:rsid w:val="00D36EC7"/>
    <w:rsid w:val="00D376E1"/>
    <w:rsid w:val="00D3799A"/>
    <w:rsid w:val="00D37BC7"/>
    <w:rsid w:val="00D37E6D"/>
    <w:rsid w:val="00D4010B"/>
    <w:rsid w:val="00D40125"/>
    <w:rsid w:val="00D40458"/>
    <w:rsid w:val="00D405C0"/>
    <w:rsid w:val="00D4097F"/>
    <w:rsid w:val="00D40A70"/>
    <w:rsid w:val="00D40A9B"/>
    <w:rsid w:val="00D414CB"/>
    <w:rsid w:val="00D41B80"/>
    <w:rsid w:val="00D41EB3"/>
    <w:rsid w:val="00D42127"/>
    <w:rsid w:val="00D42308"/>
    <w:rsid w:val="00D42698"/>
    <w:rsid w:val="00D4299D"/>
    <w:rsid w:val="00D42BA4"/>
    <w:rsid w:val="00D42E6B"/>
    <w:rsid w:val="00D432DD"/>
    <w:rsid w:val="00D436BF"/>
    <w:rsid w:val="00D4397B"/>
    <w:rsid w:val="00D44186"/>
    <w:rsid w:val="00D44499"/>
    <w:rsid w:val="00D447B6"/>
    <w:rsid w:val="00D449DF"/>
    <w:rsid w:val="00D44A2F"/>
    <w:rsid w:val="00D44D5C"/>
    <w:rsid w:val="00D44E89"/>
    <w:rsid w:val="00D451EA"/>
    <w:rsid w:val="00D45A5A"/>
    <w:rsid w:val="00D46677"/>
    <w:rsid w:val="00D4702C"/>
    <w:rsid w:val="00D472F2"/>
    <w:rsid w:val="00D4730E"/>
    <w:rsid w:val="00D47708"/>
    <w:rsid w:val="00D48145"/>
    <w:rsid w:val="00D501B1"/>
    <w:rsid w:val="00D502B3"/>
    <w:rsid w:val="00D50462"/>
    <w:rsid w:val="00D5080C"/>
    <w:rsid w:val="00D50D93"/>
    <w:rsid w:val="00D50E94"/>
    <w:rsid w:val="00D51239"/>
    <w:rsid w:val="00D51B5A"/>
    <w:rsid w:val="00D51CA1"/>
    <w:rsid w:val="00D51CBF"/>
    <w:rsid w:val="00D51DF6"/>
    <w:rsid w:val="00D51E2B"/>
    <w:rsid w:val="00D520D8"/>
    <w:rsid w:val="00D52ABC"/>
    <w:rsid w:val="00D52F34"/>
    <w:rsid w:val="00D53446"/>
    <w:rsid w:val="00D535CE"/>
    <w:rsid w:val="00D53833"/>
    <w:rsid w:val="00D53E18"/>
    <w:rsid w:val="00D54004"/>
    <w:rsid w:val="00D54A60"/>
    <w:rsid w:val="00D54F1A"/>
    <w:rsid w:val="00D55066"/>
    <w:rsid w:val="00D553FA"/>
    <w:rsid w:val="00D55467"/>
    <w:rsid w:val="00D5727A"/>
    <w:rsid w:val="00D57970"/>
    <w:rsid w:val="00D57BEE"/>
    <w:rsid w:val="00D57E14"/>
    <w:rsid w:val="00D60765"/>
    <w:rsid w:val="00D60ABA"/>
    <w:rsid w:val="00D60D42"/>
    <w:rsid w:val="00D61177"/>
    <w:rsid w:val="00D614AF"/>
    <w:rsid w:val="00D62155"/>
    <w:rsid w:val="00D62466"/>
    <w:rsid w:val="00D62821"/>
    <w:rsid w:val="00D6291B"/>
    <w:rsid w:val="00D62A8D"/>
    <w:rsid w:val="00D62ECC"/>
    <w:rsid w:val="00D62F61"/>
    <w:rsid w:val="00D63158"/>
    <w:rsid w:val="00D63196"/>
    <w:rsid w:val="00D634CA"/>
    <w:rsid w:val="00D63CE9"/>
    <w:rsid w:val="00D6409A"/>
    <w:rsid w:val="00D643FE"/>
    <w:rsid w:val="00D64650"/>
    <w:rsid w:val="00D649F0"/>
    <w:rsid w:val="00D650D3"/>
    <w:rsid w:val="00D654DE"/>
    <w:rsid w:val="00D65719"/>
    <w:rsid w:val="00D65CC7"/>
    <w:rsid w:val="00D65CEE"/>
    <w:rsid w:val="00D65E94"/>
    <w:rsid w:val="00D669B6"/>
    <w:rsid w:val="00D6701A"/>
    <w:rsid w:val="00D675D0"/>
    <w:rsid w:val="00D677C0"/>
    <w:rsid w:val="00D67BFC"/>
    <w:rsid w:val="00D70013"/>
    <w:rsid w:val="00D70051"/>
    <w:rsid w:val="00D708F6"/>
    <w:rsid w:val="00D70C87"/>
    <w:rsid w:val="00D711FE"/>
    <w:rsid w:val="00D71407"/>
    <w:rsid w:val="00D7140C"/>
    <w:rsid w:val="00D7166F"/>
    <w:rsid w:val="00D71A54"/>
    <w:rsid w:val="00D720DA"/>
    <w:rsid w:val="00D7363D"/>
    <w:rsid w:val="00D73AE2"/>
    <w:rsid w:val="00D73B45"/>
    <w:rsid w:val="00D73E1E"/>
    <w:rsid w:val="00D7420D"/>
    <w:rsid w:val="00D747C8"/>
    <w:rsid w:val="00D74ED5"/>
    <w:rsid w:val="00D770A3"/>
    <w:rsid w:val="00D772ED"/>
    <w:rsid w:val="00D77480"/>
    <w:rsid w:val="00D77715"/>
    <w:rsid w:val="00D77D7E"/>
    <w:rsid w:val="00D77E88"/>
    <w:rsid w:val="00D806B4"/>
    <w:rsid w:val="00D8073C"/>
    <w:rsid w:val="00D80987"/>
    <w:rsid w:val="00D80E7C"/>
    <w:rsid w:val="00D813B3"/>
    <w:rsid w:val="00D8190F"/>
    <w:rsid w:val="00D823FA"/>
    <w:rsid w:val="00D82E23"/>
    <w:rsid w:val="00D83062"/>
    <w:rsid w:val="00D833AA"/>
    <w:rsid w:val="00D833C5"/>
    <w:rsid w:val="00D83514"/>
    <w:rsid w:val="00D83A24"/>
    <w:rsid w:val="00D83CD8"/>
    <w:rsid w:val="00D83E0C"/>
    <w:rsid w:val="00D83FA0"/>
    <w:rsid w:val="00D843B3"/>
    <w:rsid w:val="00D8451D"/>
    <w:rsid w:val="00D84A4D"/>
    <w:rsid w:val="00D84C78"/>
    <w:rsid w:val="00D85741"/>
    <w:rsid w:val="00D859C3"/>
    <w:rsid w:val="00D85DAD"/>
    <w:rsid w:val="00D8601D"/>
    <w:rsid w:val="00D8639B"/>
    <w:rsid w:val="00D86823"/>
    <w:rsid w:val="00D868CC"/>
    <w:rsid w:val="00D86BD3"/>
    <w:rsid w:val="00D87D5D"/>
    <w:rsid w:val="00D90040"/>
    <w:rsid w:val="00D90607"/>
    <w:rsid w:val="00D914E2"/>
    <w:rsid w:val="00D920D1"/>
    <w:rsid w:val="00D922D8"/>
    <w:rsid w:val="00D92391"/>
    <w:rsid w:val="00D929DA"/>
    <w:rsid w:val="00D93488"/>
    <w:rsid w:val="00D93A66"/>
    <w:rsid w:val="00D94557"/>
    <w:rsid w:val="00D95563"/>
    <w:rsid w:val="00D95823"/>
    <w:rsid w:val="00D965CA"/>
    <w:rsid w:val="00D96CB6"/>
    <w:rsid w:val="00D96DBD"/>
    <w:rsid w:val="00D972B8"/>
    <w:rsid w:val="00D97444"/>
    <w:rsid w:val="00D97E08"/>
    <w:rsid w:val="00DA00BA"/>
    <w:rsid w:val="00DA011B"/>
    <w:rsid w:val="00DA076D"/>
    <w:rsid w:val="00DA0C37"/>
    <w:rsid w:val="00DA1115"/>
    <w:rsid w:val="00DA190E"/>
    <w:rsid w:val="00DA1F3B"/>
    <w:rsid w:val="00DA223D"/>
    <w:rsid w:val="00DA2755"/>
    <w:rsid w:val="00DA284B"/>
    <w:rsid w:val="00DA2E65"/>
    <w:rsid w:val="00DA2FE5"/>
    <w:rsid w:val="00DA31B2"/>
    <w:rsid w:val="00DA3418"/>
    <w:rsid w:val="00DA3498"/>
    <w:rsid w:val="00DA3AB5"/>
    <w:rsid w:val="00DA3F9B"/>
    <w:rsid w:val="00DA4397"/>
    <w:rsid w:val="00DA4A45"/>
    <w:rsid w:val="00DA4BC2"/>
    <w:rsid w:val="00DA5E8D"/>
    <w:rsid w:val="00DA65CC"/>
    <w:rsid w:val="00DA6BC4"/>
    <w:rsid w:val="00DA6C34"/>
    <w:rsid w:val="00DA7317"/>
    <w:rsid w:val="00DA769A"/>
    <w:rsid w:val="00DA7B51"/>
    <w:rsid w:val="00DB097B"/>
    <w:rsid w:val="00DB0B86"/>
    <w:rsid w:val="00DB16E2"/>
    <w:rsid w:val="00DB18B0"/>
    <w:rsid w:val="00DB1FA6"/>
    <w:rsid w:val="00DB26AD"/>
    <w:rsid w:val="00DB2A59"/>
    <w:rsid w:val="00DB2D6A"/>
    <w:rsid w:val="00DB31BE"/>
    <w:rsid w:val="00DB3E00"/>
    <w:rsid w:val="00DB4105"/>
    <w:rsid w:val="00DB4440"/>
    <w:rsid w:val="00DB49D0"/>
    <w:rsid w:val="00DB4A8C"/>
    <w:rsid w:val="00DB5AC4"/>
    <w:rsid w:val="00DB5C39"/>
    <w:rsid w:val="00DB638E"/>
    <w:rsid w:val="00DB6397"/>
    <w:rsid w:val="00DB69AC"/>
    <w:rsid w:val="00DB7045"/>
    <w:rsid w:val="00DB7340"/>
    <w:rsid w:val="00DB73D8"/>
    <w:rsid w:val="00DB73F5"/>
    <w:rsid w:val="00DB7A37"/>
    <w:rsid w:val="00DB7AE1"/>
    <w:rsid w:val="00DC00C6"/>
    <w:rsid w:val="00DC02EF"/>
    <w:rsid w:val="00DC0341"/>
    <w:rsid w:val="00DC0AFC"/>
    <w:rsid w:val="00DC0BCD"/>
    <w:rsid w:val="00DC1211"/>
    <w:rsid w:val="00DC145F"/>
    <w:rsid w:val="00DC1480"/>
    <w:rsid w:val="00DC1706"/>
    <w:rsid w:val="00DC214D"/>
    <w:rsid w:val="00DC221A"/>
    <w:rsid w:val="00DC33ED"/>
    <w:rsid w:val="00DC34B3"/>
    <w:rsid w:val="00DC42CE"/>
    <w:rsid w:val="00DC492E"/>
    <w:rsid w:val="00DC4AD8"/>
    <w:rsid w:val="00DC5178"/>
    <w:rsid w:val="00DC60F9"/>
    <w:rsid w:val="00DC64E2"/>
    <w:rsid w:val="00DC6C85"/>
    <w:rsid w:val="00DC6CC3"/>
    <w:rsid w:val="00DC7642"/>
    <w:rsid w:val="00DC7865"/>
    <w:rsid w:val="00DC7DE2"/>
    <w:rsid w:val="00DD0040"/>
    <w:rsid w:val="00DD0793"/>
    <w:rsid w:val="00DD0CF8"/>
    <w:rsid w:val="00DD134E"/>
    <w:rsid w:val="00DD268B"/>
    <w:rsid w:val="00DD2C3A"/>
    <w:rsid w:val="00DD2D73"/>
    <w:rsid w:val="00DD3012"/>
    <w:rsid w:val="00DD31E8"/>
    <w:rsid w:val="00DD325F"/>
    <w:rsid w:val="00DD4335"/>
    <w:rsid w:val="00DD4444"/>
    <w:rsid w:val="00DD4482"/>
    <w:rsid w:val="00DD44C7"/>
    <w:rsid w:val="00DD46F1"/>
    <w:rsid w:val="00DD4BA5"/>
    <w:rsid w:val="00DD4CF5"/>
    <w:rsid w:val="00DD4E9B"/>
    <w:rsid w:val="00DD4F66"/>
    <w:rsid w:val="00DD510B"/>
    <w:rsid w:val="00DD5441"/>
    <w:rsid w:val="00DD5BC8"/>
    <w:rsid w:val="00DD5D58"/>
    <w:rsid w:val="00DD5F8B"/>
    <w:rsid w:val="00DD684D"/>
    <w:rsid w:val="00DD6D27"/>
    <w:rsid w:val="00DD6F63"/>
    <w:rsid w:val="00DD7171"/>
    <w:rsid w:val="00DD78EC"/>
    <w:rsid w:val="00DD7E1D"/>
    <w:rsid w:val="00DE0A04"/>
    <w:rsid w:val="00DE10DF"/>
    <w:rsid w:val="00DE12B1"/>
    <w:rsid w:val="00DE199E"/>
    <w:rsid w:val="00DE1F37"/>
    <w:rsid w:val="00DE23A1"/>
    <w:rsid w:val="00DE2531"/>
    <w:rsid w:val="00DE3242"/>
    <w:rsid w:val="00DE3AB4"/>
    <w:rsid w:val="00DE44AA"/>
    <w:rsid w:val="00DE44BF"/>
    <w:rsid w:val="00DE458C"/>
    <w:rsid w:val="00DE45D6"/>
    <w:rsid w:val="00DE473F"/>
    <w:rsid w:val="00DE49E5"/>
    <w:rsid w:val="00DE4B3A"/>
    <w:rsid w:val="00DE4CF2"/>
    <w:rsid w:val="00DE4EDB"/>
    <w:rsid w:val="00DE4FD1"/>
    <w:rsid w:val="00DE5178"/>
    <w:rsid w:val="00DE5573"/>
    <w:rsid w:val="00DE6485"/>
    <w:rsid w:val="00DE66A1"/>
    <w:rsid w:val="00DE6ECD"/>
    <w:rsid w:val="00DE6FDD"/>
    <w:rsid w:val="00DE72EE"/>
    <w:rsid w:val="00DE749F"/>
    <w:rsid w:val="00DE7602"/>
    <w:rsid w:val="00DE782F"/>
    <w:rsid w:val="00DE7F40"/>
    <w:rsid w:val="00DF02B8"/>
    <w:rsid w:val="00DF0525"/>
    <w:rsid w:val="00DF07EF"/>
    <w:rsid w:val="00DF1784"/>
    <w:rsid w:val="00DF2E3B"/>
    <w:rsid w:val="00DF30C7"/>
    <w:rsid w:val="00DF329D"/>
    <w:rsid w:val="00DF331B"/>
    <w:rsid w:val="00DF360C"/>
    <w:rsid w:val="00DF3AA6"/>
    <w:rsid w:val="00DF3B5B"/>
    <w:rsid w:val="00DF45F7"/>
    <w:rsid w:val="00DF4D68"/>
    <w:rsid w:val="00DF4F6D"/>
    <w:rsid w:val="00DF5292"/>
    <w:rsid w:val="00DF5B37"/>
    <w:rsid w:val="00DF662F"/>
    <w:rsid w:val="00DF6857"/>
    <w:rsid w:val="00DF69F3"/>
    <w:rsid w:val="00DF6A99"/>
    <w:rsid w:val="00DF6BAD"/>
    <w:rsid w:val="00DF6C2E"/>
    <w:rsid w:val="00DF78B6"/>
    <w:rsid w:val="00DF79D1"/>
    <w:rsid w:val="00DF7B65"/>
    <w:rsid w:val="00DF7E05"/>
    <w:rsid w:val="00E0082B"/>
    <w:rsid w:val="00E00894"/>
    <w:rsid w:val="00E00C1D"/>
    <w:rsid w:val="00E013CF"/>
    <w:rsid w:val="00E017CC"/>
    <w:rsid w:val="00E01EE6"/>
    <w:rsid w:val="00E020FF"/>
    <w:rsid w:val="00E02845"/>
    <w:rsid w:val="00E03470"/>
    <w:rsid w:val="00E0389B"/>
    <w:rsid w:val="00E04256"/>
    <w:rsid w:val="00E043EE"/>
    <w:rsid w:val="00E04740"/>
    <w:rsid w:val="00E053E9"/>
    <w:rsid w:val="00E0566A"/>
    <w:rsid w:val="00E0597F"/>
    <w:rsid w:val="00E05EDE"/>
    <w:rsid w:val="00E06736"/>
    <w:rsid w:val="00E06762"/>
    <w:rsid w:val="00E0696B"/>
    <w:rsid w:val="00E06995"/>
    <w:rsid w:val="00E079DF"/>
    <w:rsid w:val="00E102DA"/>
    <w:rsid w:val="00E10A25"/>
    <w:rsid w:val="00E10F3A"/>
    <w:rsid w:val="00E11088"/>
    <w:rsid w:val="00E11714"/>
    <w:rsid w:val="00E1227F"/>
    <w:rsid w:val="00E12652"/>
    <w:rsid w:val="00E12A8D"/>
    <w:rsid w:val="00E12B78"/>
    <w:rsid w:val="00E130D8"/>
    <w:rsid w:val="00E1319A"/>
    <w:rsid w:val="00E1321E"/>
    <w:rsid w:val="00E134B9"/>
    <w:rsid w:val="00E1391B"/>
    <w:rsid w:val="00E13FFD"/>
    <w:rsid w:val="00E14138"/>
    <w:rsid w:val="00E145B5"/>
    <w:rsid w:val="00E148E7"/>
    <w:rsid w:val="00E14976"/>
    <w:rsid w:val="00E14C53"/>
    <w:rsid w:val="00E14ED7"/>
    <w:rsid w:val="00E14FA6"/>
    <w:rsid w:val="00E16791"/>
    <w:rsid w:val="00E16C99"/>
    <w:rsid w:val="00E17984"/>
    <w:rsid w:val="00E17C4E"/>
    <w:rsid w:val="00E20886"/>
    <w:rsid w:val="00E208AF"/>
    <w:rsid w:val="00E2102A"/>
    <w:rsid w:val="00E219FD"/>
    <w:rsid w:val="00E21A06"/>
    <w:rsid w:val="00E224F2"/>
    <w:rsid w:val="00E23531"/>
    <w:rsid w:val="00E239EF"/>
    <w:rsid w:val="00E23AAD"/>
    <w:rsid w:val="00E2499F"/>
    <w:rsid w:val="00E24E90"/>
    <w:rsid w:val="00E24E92"/>
    <w:rsid w:val="00E2517C"/>
    <w:rsid w:val="00E25206"/>
    <w:rsid w:val="00E25323"/>
    <w:rsid w:val="00E25FE7"/>
    <w:rsid w:val="00E26247"/>
    <w:rsid w:val="00E26727"/>
    <w:rsid w:val="00E27EE7"/>
    <w:rsid w:val="00E27F68"/>
    <w:rsid w:val="00E303BF"/>
    <w:rsid w:val="00E307D7"/>
    <w:rsid w:val="00E30D8E"/>
    <w:rsid w:val="00E310C5"/>
    <w:rsid w:val="00E3152D"/>
    <w:rsid w:val="00E3186E"/>
    <w:rsid w:val="00E31A6B"/>
    <w:rsid w:val="00E32135"/>
    <w:rsid w:val="00E32364"/>
    <w:rsid w:val="00E32497"/>
    <w:rsid w:val="00E328AA"/>
    <w:rsid w:val="00E330CA"/>
    <w:rsid w:val="00E33197"/>
    <w:rsid w:val="00E334D9"/>
    <w:rsid w:val="00E338AC"/>
    <w:rsid w:val="00E34362"/>
    <w:rsid w:val="00E349D7"/>
    <w:rsid w:val="00E34B53"/>
    <w:rsid w:val="00E34C63"/>
    <w:rsid w:val="00E34EED"/>
    <w:rsid w:val="00E34FCB"/>
    <w:rsid w:val="00E34FE0"/>
    <w:rsid w:val="00E3549C"/>
    <w:rsid w:val="00E358D5"/>
    <w:rsid w:val="00E35930"/>
    <w:rsid w:val="00E3627C"/>
    <w:rsid w:val="00E36850"/>
    <w:rsid w:val="00E368C4"/>
    <w:rsid w:val="00E36BF8"/>
    <w:rsid w:val="00E36D88"/>
    <w:rsid w:val="00E37C86"/>
    <w:rsid w:val="00E4006E"/>
    <w:rsid w:val="00E40149"/>
    <w:rsid w:val="00E408C5"/>
    <w:rsid w:val="00E40CDB"/>
    <w:rsid w:val="00E40D05"/>
    <w:rsid w:val="00E40D8C"/>
    <w:rsid w:val="00E40E7E"/>
    <w:rsid w:val="00E41633"/>
    <w:rsid w:val="00E41720"/>
    <w:rsid w:val="00E4232F"/>
    <w:rsid w:val="00E42544"/>
    <w:rsid w:val="00E42821"/>
    <w:rsid w:val="00E43491"/>
    <w:rsid w:val="00E434D4"/>
    <w:rsid w:val="00E43848"/>
    <w:rsid w:val="00E43970"/>
    <w:rsid w:val="00E43B51"/>
    <w:rsid w:val="00E44299"/>
    <w:rsid w:val="00E445F1"/>
    <w:rsid w:val="00E44B13"/>
    <w:rsid w:val="00E44F75"/>
    <w:rsid w:val="00E45101"/>
    <w:rsid w:val="00E453DF"/>
    <w:rsid w:val="00E4558F"/>
    <w:rsid w:val="00E4573E"/>
    <w:rsid w:val="00E45AA2"/>
    <w:rsid w:val="00E45C32"/>
    <w:rsid w:val="00E4603E"/>
    <w:rsid w:val="00E460F1"/>
    <w:rsid w:val="00E4630F"/>
    <w:rsid w:val="00E46D97"/>
    <w:rsid w:val="00E475D6"/>
    <w:rsid w:val="00E475FE"/>
    <w:rsid w:val="00E47B9B"/>
    <w:rsid w:val="00E47BC3"/>
    <w:rsid w:val="00E47C0A"/>
    <w:rsid w:val="00E47E5C"/>
    <w:rsid w:val="00E50227"/>
    <w:rsid w:val="00E50747"/>
    <w:rsid w:val="00E50FC2"/>
    <w:rsid w:val="00E51BB6"/>
    <w:rsid w:val="00E522F3"/>
    <w:rsid w:val="00E53559"/>
    <w:rsid w:val="00E53617"/>
    <w:rsid w:val="00E54B54"/>
    <w:rsid w:val="00E55245"/>
    <w:rsid w:val="00E55636"/>
    <w:rsid w:val="00E56305"/>
    <w:rsid w:val="00E5677D"/>
    <w:rsid w:val="00E56A84"/>
    <w:rsid w:val="00E56DD5"/>
    <w:rsid w:val="00E571CF"/>
    <w:rsid w:val="00E576F5"/>
    <w:rsid w:val="00E578B0"/>
    <w:rsid w:val="00E5791D"/>
    <w:rsid w:val="00E604B0"/>
    <w:rsid w:val="00E60FE7"/>
    <w:rsid w:val="00E611D5"/>
    <w:rsid w:val="00E6123A"/>
    <w:rsid w:val="00E61AD4"/>
    <w:rsid w:val="00E62150"/>
    <w:rsid w:val="00E62212"/>
    <w:rsid w:val="00E623C2"/>
    <w:rsid w:val="00E623E4"/>
    <w:rsid w:val="00E626FC"/>
    <w:rsid w:val="00E62754"/>
    <w:rsid w:val="00E62A05"/>
    <w:rsid w:val="00E62D90"/>
    <w:rsid w:val="00E62F60"/>
    <w:rsid w:val="00E63AD0"/>
    <w:rsid w:val="00E6462C"/>
    <w:rsid w:val="00E64B3C"/>
    <w:rsid w:val="00E64DD1"/>
    <w:rsid w:val="00E6501F"/>
    <w:rsid w:val="00E651EE"/>
    <w:rsid w:val="00E656A3"/>
    <w:rsid w:val="00E656A5"/>
    <w:rsid w:val="00E6591A"/>
    <w:rsid w:val="00E65F27"/>
    <w:rsid w:val="00E665F6"/>
    <w:rsid w:val="00E669C3"/>
    <w:rsid w:val="00E66AF8"/>
    <w:rsid w:val="00E67CD5"/>
    <w:rsid w:val="00E70B2D"/>
    <w:rsid w:val="00E7116C"/>
    <w:rsid w:val="00E718BA"/>
    <w:rsid w:val="00E72696"/>
    <w:rsid w:val="00E7286A"/>
    <w:rsid w:val="00E72926"/>
    <w:rsid w:val="00E72965"/>
    <w:rsid w:val="00E72AFA"/>
    <w:rsid w:val="00E731AC"/>
    <w:rsid w:val="00E73652"/>
    <w:rsid w:val="00E744D0"/>
    <w:rsid w:val="00E7551C"/>
    <w:rsid w:val="00E7554F"/>
    <w:rsid w:val="00E75777"/>
    <w:rsid w:val="00E75ACD"/>
    <w:rsid w:val="00E75CC5"/>
    <w:rsid w:val="00E76135"/>
    <w:rsid w:val="00E76521"/>
    <w:rsid w:val="00E765FA"/>
    <w:rsid w:val="00E7661D"/>
    <w:rsid w:val="00E76E5F"/>
    <w:rsid w:val="00E76F5F"/>
    <w:rsid w:val="00E77B11"/>
    <w:rsid w:val="00E77B1B"/>
    <w:rsid w:val="00E77ED4"/>
    <w:rsid w:val="00E808AF"/>
    <w:rsid w:val="00E8129D"/>
    <w:rsid w:val="00E81341"/>
    <w:rsid w:val="00E8134E"/>
    <w:rsid w:val="00E81C65"/>
    <w:rsid w:val="00E81DBC"/>
    <w:rsid w:val="00E82071"/>
    <w:rsid w:val="00E821C1"/>
    <w:rsid w:val="00E826A2"/>
    <w:rsid w:val="00E82C2E"/>
    <w:rsid w:val="00E82D20"/>
    <w:rsid w:val="00E83B99"/>
    <w:rsid w:val="00E83C82"/>
    <w:rsid w:val="00E845EF"/>
    <w:rsid w:val="00E845F7"/>
    <w:rsid w:val="00E84B70"/>
    <w:rsid w:val="00E8509F"/>
    <w:rsid w:val="00E85A88"/>
    <w:rsid w:val="00E86C77"/>
    <w:rsid w:val="00E877E1"/>
    <w:rsid w:val="00E87C86"/>
    <w:rsid w:val="00E90004"/>
    <w:rsid w:val="00E9095E"/>
    <w:rsid w:val="00E90A30"/>
    <w:rsid w:val="00E90D3E"/>
    <w:rsid w:val="00E90D86"/>
    <w:rsid w:val="00E91338"/>
    <w:rsid w:val="00E915F0"/>
    <w:rsid w:val="00E91700"/>
    <w:rsid w:val="00E918BE"/>
    <w:rsid w:val="00E91950"/>
    <w:rsid w:val="00E91BF5"/>
    <w:rsid w:val="00E91C98"/>
    <w:rsid w:val="00E91EBF"/>
    <w:rsid w:val="00E92240"/>
    <w:rsid w:val="00E923B6"/>
    <w:rsid w:val="00E92582"/>
    <w:rsid w:val="00E9298F"/>
    <w:rsid w:val="00E929B3"/>
    <w:rsid w:val="00E92A76"/>
    <w:rsid w:val="00E92B6A"/>
    <w:rsid w:val="00E92BFE"/>
    <w:rsid w:val="00E930AC"/>
    <w:rsid w:val="00E93F98"/>
    <w:rsid w:val="00E94044"/>
    <w:rsid w:val="00E95091"/>
    <w:rsid w:val="00E9539F"/>
    <w:rsid w:val="00E95629"/>
    <w:rsid w:val="00E95666"/>
    <w:rsid w:val="00E957BC"/>
    <w:rsid w:val="00E95829"/>
    <w:rsid w:val="00E9629D"/>
    <w:rsid w:val="00E96E60"/>
    <w:rsid w:val="00E97462"/>
    <w:rsid w:val="00E975F2"/>
    <w:rsid w:val="00E976D3"/>
    <w:rsid w:val="00E97940"/>
    <w:rsid w:val="00E97B10"/>
    <w:rsid w:val="00EA0066"/>
    <w:rsid w:val="00EA0838"/>
    <w:rsid w:val="00EA09AA"/>
    <w:rsid w:val="00EA0FDA"/>
    <w:rsid w:val="00EA1047"/>
    <w:rsid w:val="00EA1175"/>
    <w:rsid w:val="00EA18AB"/>
    <w:rsid w:val="00EA198D"/>
    <w:rsid w:val="00EA1B52"/>
    <w:rsid w:val="00EA1FF7"/>
    <w:rsid w:val="00EA2049"/>
    <w:rsid w:val="00EA20C8"/>
    <w:rsid w:val="00EA2492"/>
    <w:rsid w:val="00EA2B18"/>
    <w:rsid w:val="00EA330C"/>
    <w:rsid w:val="00EA387B"/>
    <w:rsid w:val="00EA3C70"/>
    <w:rsid w:val="00EA3E02"/>
    <w:rsid w:val="00EA3E28"/>
    <w:rsid w:val="00EA4447"/>
    <w:rsid w:val="00EA4954"/>
    <w:rsid w:val="00EA4C53"/>
    <w:rsid w:val="00EA4D5F"/>
    <w:rsid w:val="00EA5694"/>
    <w:rsid w:val="00EA5B03"/>
    <w:rsid w:val="00EA62CB"/>
    <w:rsid w:val="00EA6B24"/>
    <w:rsid w:val="00EA6CB0"/>
    <w:rsid w:val="00EA70E1"/>
    <w:rsid w:val="00EA73A2"/>
    <w:rsid w:val="00EA744B"/>
    <w:rsid w:val="00EB04B7"/>
    <w:rsid w:val="00EB0E1E"/>
    <w:rsid w:val="00EB1B5E"/>
    <w:rsid w:val="00EB1DC4"/>
    <w:rsid w:val="00EB2521"/>
    <w:rsid w:val="00EB2631"/>
    <w:rsid w:val="00EB2B53"/>
    <w:rsid w:val="00EB3C1E"/>
    <w:rsid w:val="00EB4B41"/>
    <w:rsid w:val="00EB5238"/>
    <w:rsid w:val="00EB562B"/>
    <w:rsid w:val="00EB59AE"/>
    <w:rsid w:val="00EB5C00"/>
    <w:rsid w:val="00EB665B"/>
    <w:rsid w:val="00EB6710"/>
    <w:rsid w:val="00EB6B8D"/>
    <w:rsid w:val="00EB6B9B"/>
    <w:rsid w:val="00EB7722"/>
    <w:rsid w:val="00EB793A"/>
    <w:rsid w:val="00EB7964"/>
    <w:rsid w:val="00EB7A0A"/>
    <w:rsid w:val="00EB7C68"/>
    <w:rsid w:val="00EB7DE6"/>
    <w:rsid w:val="00EC0046"/>
    <w:rsid w:val="00EC041C"/>
    <w:rsid w:val="00EC05B9"/>
    <w:rsid w:val="00EC0897"/>
    <w:rsid w:val="00EC1530"/>
    <w:rsid w:val="00EC1B51"/>
    <w:rsid w:val="00EC207C"/>
    <w:rsid w:val="00EC2CFE"/>
    <w:rsid w:val="00EC310D"/>
    <w:rsid w:val="00EC37DB"/>
    <w:rsid w:val="00EC38C0"/>
    <w:rsid w:val="00EC4BEB"/>
    <w:rsid w:val="00EC4D58"/>
    <w:rsid w:val="00EC4D9B"/>
    <w:rsid w:val="00EC51FC"/>
    <w:rsid w:val="00EC5319"/>
    <w:rsid w:val="00EC5486"/>
    <w:rsid w:val="00EC562B"/>
    <w:rsid w:val="00EC5DAD"/>
    <w:rsid w:val="00EC6445"/>
    <w:rsid w:val="00EC6482"/>
    <w:rsid w:val="00EC6490"/>
    <w:rsid w:val="00EC660C"/>
    <w:rsid w:val="00EC6D9E"/>
    <w:rsid w:val="00EC6E19"/>
    <w:rsid w:val="00EC6FF1"/>
    <w:rsid w:val="00EC7253"/>
    <w:rsid w:val="00EC7733"/>
    <w:rsid w:val="00EC7A2D"/>
    <w:rsid w:val="00ED057D"/>
    <w:rsid w:val="00ED06F3"/>
    <w:rsid w:val="00ED07C7"/>
    <w:rsid w:val="00ED17C5"/>
    <w:rsid w:val="00ED1916"/>
    <w:rsid w:val="00ED2C47"/>
    <w:rsid w:val="00ED3755"/>
    <w:rsid w:val="00ED3D7A"/>
    <w:rsid w:val="00ED407F"/>
    <w:rsid w:val="00ED43E0"/>
    <w:rsid w:val="00ED43F1"/>
    <w:rsid w:val="00ED451C"/>
    <w:rsid w:val="00ED534B"/>
    <w:rsid w:val="00ED568F"/>
    <w:rsid w:val="00ED5B26"/>
    <w:rsid w:val="00ED66C5"/>
    <w:rsid w:val="00ED6FD9"/>
    <w:rsid w:val="00ED6FEB"/>
    <w:rsid w:val="00ED7179"/>
    <w:rsid w:val="00ED78D7"/>
    <w:rsid w:val="00ED78F4"/>
    <w:rsid w:val="00ED793F"/>
    <w:rsid w:val="00ED7BE7"/>
    <w:rsid w:val="00ED7D2A"/>
    <w:rsid w:val="00ED7E72"/>
    <w:rsid w:val="00EE0271"/>
    <w:rsid w:val="00EE0791"/>
    <w:rsid w:val="00EE08DA"/>
    <w:rsid w:val="00EE106B"/>
    <w:rsid w:val="00EE221B"/>
    <w:rsid w:val="00EE2340"/>
    <w:rsid w:val="00EE23B8"/>
    <w:rsid w:val="00EE2756"/>
    <w:rsid w:val="00EE2878"/>
    <w:rsid w:val="00EE28D5"/>
    <w:rsid w:val="00EE2B09"/>
    <w:rsid w:val="00EE3060"/>
    <w:rsid w:val="00EE312B"/>
    <w:rsid w:val="00EE3C4B"/>
    <w:rsid w:val="00EE4186"/>
    <w:rsid w:val="00EE4496"/>
    <w:rsid w:val="00EE487C"/>
    <w:rsid w:val="00EE488D"/>
    <w:rsid w:val="00EE4A4A"/>
    <w:rsid w:val="00EE4D37"/>
    <w:rsid w:val="00EE4D79"/>
    <w:rsid w:val="00EE5251"/>
    <w:rsid w:val="00EE536D"/>
    <w:rsid w:val="00EE53DA"/>
    <w:rsid w:val="00EE546B"/>
    <w:rsid w:val="00EE58D6"/>
    <w:rsid w:val="00EE603F"/>
    <w:rsid w:val="00EE65B2"/>
    <w:rsid w:val="00EE6726"/>
    <w:rsid w:val="00EE6B64"/>
    <w:rsid w:val="00EE6DA1"/>
    <w:rsid w:val="00EE716C"/>
    <w:rsid w:val="00EE79F8"/>
    <w:rsid w:val="00EE7A5E"/>
    <w:rsid w:val="00EF0B5F"/>
    <w:rsid w:val="00EF0BAE"/>
    <w:rsid w:val="00EF0BF3"/>
    <w:rsid w:val="00EF0C68"/>
    <w:rsid w:val="00EF0D0B"/>
    <w:rsid w:val="00EF1F58"/>
    <w:rsid w:val="00EF222F"/>
    <w:rsid w:val="00EF2660"/>
    <w:rsid w:val="00EF2A25"/>
    <w:rsid w:val="00EF2A91"/>
    <w:rsid w:val="00EF30CC"/>
    <w:rsid w:val="00EF30D2"/>
    <w:rsid w:val="00EF3610"/>
    <w:rsid w:val="00EF3775"/>
    <w:rsid w:val="00EF3AE2"/>
    <w:rsid w:val="00EF43BE"/>
    <w:rsid w:val="00EF4667"/>
    <w:rsid w:val="00EF4A81"/>
    <w:rsid w:val="00EF4C06"/>
    <w:rsid w:val="00EF69D9"/>
    <w:rsid w:val="00EF6C76"/>
    <w:rsid w:val="00EF6F67"/>
    <w:rsid w:val="00EF71EE"/>
    <w:rsid w:val="00EF7206"/>
    <w:rsid w:val="00EF72AF"/>
    <w:rsid w:val="00EF7422"/>
    <w:rsid w:val="00EF77EB"/>
    <w:rsid w:val="00EF79CF"/>
    <w:rsid w:val="00F0092B"/>
    <w:rsid w:val="00F00A22"/>
    <w:rsid w:val="00F00BC0"/>
    <w:rsid w:val="00F00E12"/>
    <w:rsid w:val="00F00E60"/>
    <w:rsid w:val="00F012CA"/>
    <w:rsid w:val="00F012EF"/>
    <w:rsid w:val="00F01BF8"/>
    <w:rsid w:val="00F01ECE"/>
    <w:rsid w:val="00F0223F"/>
    <w:rsid w:val="00F028B7"/>
    <w:rsid w:val="00F031C4"/>
    <w:rsid w:val="00F0341C"/>
    <w:rsid w:val="00F03783"/>
    <w:rsid w:val="00F03BFD"/>
    <w:rsid w:val="00F04156"/>
    <w:rsid w:val="00F041C2"/>
    <w:rsid w:val="00F048AE"/>
    <w:rsid w:val="00F04B4B"/>
    <w:rsid w:val="00F04B4C"/>
    <w:rsid w:val="00F04B5D"/>
    <w:rsid w:val="00F04D55"/>
    <w:rsid w:val="00F04D70"/>
    <w:rsid w:val="00F04EC6"/>
    <w:rsid w:val="00F05284"/>
    <w:rsid w:val="00F05468"/>
    <w:rsid w:val="00F06223"/>
    <w:rsid w:val="00F0642E"/>
    <w:rsid w:val="00F06695"/>
    <w:rsid w:val="00F074C4"/>
    <w:rsid w:val="00F07A76"/>
    <w:rsid w:val="00F07EDC"/>
    <w:rsid w:val="00F07FEB"/>
    <w:rsid w:val="00F10261"/>
    <w:rsid w:val="00F1053F"/>
    <w:rsid w:val="00F10631"/>
    <w:rsid w:val="00F106C6"/>
    <w:rsid w:val="00F107B4"/>
    <w:rsid w:val="00F10FAE"/>
    <w:rsid w:val="00F1101D"/>
    <w:rsid w:val="00F11342"/>
    <w:rsid w:val="00F1146F"/>
    <w:rsid w:val="00F11AF0"/>
    <w:rsid w:val="00F11B0E"/>
    <w:rsid w:val="00F11C16"/>
    <w:rsid w:val="00F11E23"/>
    <w:rsid w:val="00F12017"/>
    <w:rsid w:val="00F12354"/>
    <w:rsid w:val="00F12530"/>
    <w:rsid w:val="00F12AA7"/>
    <w:rsid w:val="00F12FAA"/>
    <w:rsid w:val="00F13005"/>
    <w:rsid w:val="00F130BF"/>
    <w:rsid w:val="00F1352B"/>
    <w:rsid w:val="00F13639"/>
    <w:rsid w:val="00F136CA"/>
    <w:rsid w:val="00F13C18"/>
    <w:rsid w:val="00F1422E"/>
    <w:rsid w:val="00F14471"/>
    <w:rsid w:val="00F144F3"/>
    <w:rsid w:val="00F151A7"/>
    <w:rsid w:val="00F1551A"/>
    <w:rsid w:val="00F15649"/>
    <w:rsid w:val="00F15DA8"/>
    <w:rsid w:val="00F16325"/>
    <w:rsid w:val="00F16638"/>
    <w:rsid w:val="00F16A8B"/>
    <w:rsid w:val="00F17094"/>
    <w:rsid w:val="00F17754"/>
    <w:rsid w:val="00F177D6"/>
    <w:rsid w:val="00F17FC8"/>
    <w:rsid w:val="00F203AD"/>
    <w:rsid w:val="00F208F1"/>
    <w:rsid w:val="00F20ED4"/>
    <w:rsid w:val="00F20F6B"/>
    <w:rsid w:val="00F219E9"/>
    <w:rsid w:val="00F21AA3"/>
    <w:rsid w:val="00F21BA9"/>
    <w:rsid w:val="00F21F78"/>
    <w:rsid w:val="00F2204A"/>
    <w:rsid w:val="00F22F12"/>
    <w:rsid w:val="00F2333B"/>
    <w:rsid w:val="00F235B1"/>
    <w:rsid w:val="00F2377F"/>
    <w:rsid w:val="00F238D8"/>
    <w:rsid w:val="00F24C8F"/>
    <w:rsid w:val="00F24E65"/>
    <w:rsid w:val="00F25047"/>
    <w:rsid w:val="00F253BF"/>
    <w:rsid w:val="00F25625"/>
    <w:rsid w:val="00F25E6F"/>
    <w:rsid w:val="00F26101"/>
    <w:rsid w:val="00F26E0D"/>
    <w:rsid w:val="00F26EE2"/>
    <w:rsid w:val="00F27343"/>
    <w:rsid w:val="00F307B7"/>
    <w:rsid w:val="00F30EF6"/>
    <w:rsid w:val="00F3119D"/>
    <w:rsid w:val="00F317EB"/>
    <w:rsid w:val="00F3180D"/>
    <w:rsid w:val="00F31E5D"/>
    <w:rsid w:val="00F33050"/>
    <w:rsid w:val="00F33CC2"/>
    <w:rsid w:val="00F33DAB"/>
    <w:rsid w:val="00F34466"/>
    <w:rsid w:val="00F345E9"/>
    <w:rsid w:val="00F34626"/>
    <w:rsid w:val="00F357EF"/>
    <w:rsid w:val="00F35811"/>
    <w:rsid w:val="00F3589F"/>
    <w:rsid w:val="00F35B71"/>
    <w:rsid w:val="00F35E04"/>
    <w:rsid w:val="00F35E12"/>
    <w:rsid w:val="00F36228"/>
    <w:rsid w:val="00F36530"/>
    <w:rsid w:val="00F36981"/>
    <w:rsid w:val="00F36B6F"/>
    <w:rsid w:val="00F36CCD"/>
    <w:rsid w:val="00F36F6B"/>
    <w:rsid w:val="00F37878"/>
    <w:rsid w:val="00F37A6E"/>
    <w:rsid w:val="00F37BBC"/>
    <w:rsid w:val="00F37D10"/>
    <w:rsid w:val="00F4001A"/>
    <w:rsid w:val="00F402A0"/>
    <w:rsid w:val="00F402B4"/>
    <w:rsid w:val="00F40457"/>
    <w:rsid w:val="00F40755"/>
    <w:rsid w:val="00F40E20"/>
    <w:rsid w:val="00F4102B"/>
    <w:rsid w:val="00F412F1"/>
    <w:rsid w:val="00F4151C"/>
    <w:rsid w:val="00F416A0"/>
    <w:rsid w:val="00F41825"/>
    <w:rsid w:val="00F41C7E"/>
    <w:rsid w:val="00F41CC2"/>
    <w:rsid w:val="00F41DB8"/>
    <w:rsid w:val="00F4229A"/>
    <w:rsid w:val="00F4229B"/>
    <w:rsid w:val="00F42334"/>
    <w:rsid w:val="00F424CA"/>
    <w:rsid w:val="00F42BAC"/>
    <w:rsid w:val="00F42E93"/>
    <w:rsid w:val="00F43503"/>
    <w:rsid w:val="00F43C19"/>
    <w:rsid w:val="00F4462E"/>
    <w:rsid w:val="00F44BB9"/>
    <w:rsid w:val="00F4541E"/>
    <w:rsid w:val="00F4597D"/>
    <w:rsid w:val="00F45AC1"/>
    <w:rsid w:val="00F46029"/>
    <w:rsid w:val="00F4671B"/>
    <w:rsid w:val="00F468AB"/>
    <w:rsid w:val="00F46BF0"/>
    <w:rsid w:val="00F46C73"/>
    <w:rsid w:val="00F46DD6"/>
    <w:rsid w:val="00F472D4"/>
    <w:rsid w:val="00F47597"/>
    <w:rsid w:val="00F47861"/>
    <w:rsid w:val="00F47884"/>
    <w:rsid w:val="00F4793F"/>
    <w:rsid w:val="00F47CF9"/>
    <w:rsid w:val="00F501AF"/>
    <w:rsid w:val="00F50581"/>
    <w:rsid w:val="00F511CB"/>
    <w:rsid w:val="00F51342"/>
    <w:rsid w:val="00F516D8"/>
    <w:rsid w:val="00F5180B"/>
    <w:rsid w:val="00F51E7E"/>
    <w:rsid w:val="00F51EEB"/>
    <w:rsid w:val="00F52E48"/>
    <w:rsid w:val="00F53273"/>
    <w:rsid w:val="00F53A13"/>
    <w:rsid w:val="00F5429F"/>
    <w:rsid w:val="00F543A8"/>
    <w:rsid w:val="00F549A5"/>
    <w:rsid w:val="00F562A9"/>
    <w:rsid w:val="00F56300"/>
    <w:rsid w:val="00F56CB4"/>
    <w:rsid w:val="00F57409"/>
    <w:rsid w:val="00F5759D"/>
    <w:rsid w:val="00F5768A"/>
    <w:rsid w:val="00F57BEE"/>
    <w:rsid w:val="00F57CBA"/>
    <w:rsid w:val="00F60614"/>
    <w:rsid w:val="00F6081B"/>
    <w:rsid w:val="00F60E6A"/>
    <w:rsid w:val="00F60EA2"/>
    <w:rsid w:val="00F61213"/>
    <w:rsid w:val="00F61CD1"/>
    <w:rsid w:val="00F621D6"/>
    <w:rsid w:val="00F625FD"/>
    <w:rsid w:val="00F63AF2"/>
    <w:rsid w:val="00F64250"/>
    <w:rsid w:val="00F64540"/>
    <w:rsid w:val="00F64E21"/>
    <w:rsid w:val="00F655B9"/>
    <w:rsid w:val="00F6566B"/>
    <w:rsid w:val="00F65693"/>
    <w:rsid w:val="00F65BA6"/>
    <w:rsid w:val="00F65BF9"/>
    <w:rsid w:val="00F65C8D"/>
    <w:rsid w:val="00F65E8B"/>
    <w:rsid w:val="00F660CF"/>
    <w:rsid w:val="00F66D0D"/>
    <w:rsid w:val="00F66EF4"/>
    <w:rsid w:val="00F704CC"/>
    <w:rsid w:val="00F70807"/>
    <w:rsid w:val="00F71C67"/>
    <w:rsid w:val="00F71F0E"/>
    <w:rsid w:val="00F7202E"/>
    <w:rsid w:val="00F725CF"/>
    <w:rsid w:val="00F72A2D"/>
    <w:rsid w:val="00F72BB1"/>
    <w:rsid w:val="00F72C2F"/>
    <w:rsid w:val="00F72E60"/>
    <w:rsid w:val="00F732FC"/>
    <w:rsid w:val="00F73701"/>
    <w:rsid w:val="00F73819"/>
    <w:rsid w:val="00F73A74"/>
    <w:rsid w:val="00F73C14"/>
    <w:rsid w:val="00F744C0"/>
    <w:rsid w:val="00F76328"/>
    <w:rsid w:val="00F76874"/>
    <w:rsid w:val="00F770F1"/>
    <w:rsid w:val="00F774DF"/>
    <w:rsid w:val="00F77A6F"/>
    <w:rsid w:val="00F80062"/>
    <w:rsid w:val="00F80126"/>
    <w:rsid w:val="00F80434"/>
    <w:rsid w:val="00F80832"/>
    <w:rsid w:val="00F809A0"/>
    <w:rsid w:val="00F812DD"/>
    <w:rsid w:val="00F8179C"/>
    <w:rsid w:val="00F81D24"/>
    <w:rsid w:val="00F8200F"/>
    <w:rsid w:val="00F82097"/>
    <w:rsid w:val="00F82818"/>
    <w:rsid w:val="00F82927"/>
    <w:rsid w:val="00F829E9"/>
    <w:rsid w:val="00F82A9D"/>
    <w:rsid w:val="00F8327C"/>
    <w:rsid w:val="00F833C3"/>
    <w:rsid w:val="00F83992"/>
    <w:rsid w:val="00F84FBD"/>
    <w:rsid w:val="00F8515A"/>
    <w:rsid w:val="00F855AE"/>
    <w:rsid w:val="00F856A3"/>
    <w:rsid w:val="00F85D34"/>
    <w:rsid w:val="00F86326"/>
    <w:rsid w:val="00F86442"/>
    <w:rsid w:val="00F8649B"/>
    <w:rsid w:val="00F8671C"/>
    <w:rsid w:val="00F86880"/>
    <w:rsid w:val="00F86B7E"/>
    <w:rsid w:val="00F87C62"/>
    <w:rsid w:val="00F87F92"/>
    <w:rsid w:val="00F90010"/>
    <w:rsid w:val="00F90D54"/>
    <w:rsid w:val="00F910FE"/>
    <w:rsid w:val="00F91375"/>
    <w:rsid w:val="00F915C4"/>
    <w:rsid w:val="00F9364E"/>
    <w:rsid w:val="00F93794"/>
    <w:rsid w:val="00F9416F"/>
    <w:rsid w:val="00F9488E"/>
    <w:rsid w:val="00F94DD9"/>
    <w:rsid w:val="00F94EC0"/>
    <w:rsid w:val="00F9580F"/>
    <w:rsid w:val="00F95DBB"/>
    <w:rsid w:val="00F95E23"/>
    <w:rsid w:val="00F96170"/>
    <w:rsid w:val="00F963D8"/>
    <w:rsid w:val="00F96AF7"/>
    <w:rsid w:val="00F96B3A"/>
    <w:rsid w:val="00F96F25"/>
    <w:rsid w:val="00F97423"/>
    <w:rsid w:val="00F978D4"/>
    <w:rsid w:val="00FA043B"/>
    <w:rsid w:val="00FA0879"/>
    <w:rsid w:val="00FA0C2E"/>
    <w:rsid w:val="00FA0FCA"/>
    <w:rsid w:val="00FA163D"/>
    <w:rsid w:val="00FA1C93"/>
    <w:rsid w:val="00FA1E58"/>
    <w:rsid w:val="00FA1F7C"/>
    <w:rsid w:val="00FA2075"/>
    <w:rsid w:val="00FA20A7"/>
    <w:rsid w:val="00FA2229"/>
    <w:rsid w:val="00FA24E9"/>
    <w:rsid w:val="00FA335A"/>
    <w:rsid w:val="00FA3B79"/>
    <w:rsid w:val="00FA3E86"/>
    <w:rsid w:val="00FA3F0F"/>
    <w:rsid w:val="00FA408B"/>
    <w:rsid w:val="00FA4899"/>
    <w:rsid w:val="00FA48FA"/>
    <w:rsid w:val="00FA5CAC"/>
    <w:rsid w:val="00FA5FC7"/>
    <w:rsid w:val="00FA64F3"/>
    <w:rsid w:val="00FA6673"/>
    <w:rsid w:val="00FA69E5"/>
    <w:rsid w:val="00FA6ABF"/>
    <w:rsid w:val="00FA6BE2"/>
    <w:rsid w:val="00FA6DB0"/>
    <w:rsid w:val="00FA757E"/>
    <w:rsid w:val="00FA7601"/>
    <w:rsid w:val="00FA767E"/>
    <w:rsid w:val="00FA7A35"/>
    <w:rsid w:val="00FA7C4F"/>
    <w:rsid w:val="00FB0231"/>
    <w:rsid w:val="00FB0542"/>
    <w:rsid w:val="00FB07F1"/>
    <w:rsid w:val="00FB0884"/>
    <w:rsid w:val="00FB1592"/>
    <w:rsid w:val="00FB2104"/>
    <w:rsid w:val="00FB25F2"/>
    <w:rsid w:val="00FB2DBD"/>
    <w:rsid w:val="00FB3554"/>
    <w:rsid w:val="00FB3640"/>
    <w:rsid w:val="00FB3692"/>
    <w:rsid w:val="00FB3801"/>
    <w:rsid w:val="00FB39DC"/>
    <w:rsid w:val="00FB3A08"/>
    <w:rsid w:val="00FB3C7C"/>
    <w:rsid w:val="00FB40D1"/>
    <w:rsid w:val="00FB41F1"/>
    <w:rsid w:val="00FB4289"/>
    <w:rsid w:val="00FB4759"/>
    <w:rsid w:val="00FB49D4"/>
    <w:rsid w:val="00FB50D8"/>
    <w:rsid w:val="00FB53B4"/>
    <w:rsid w:val="00FB555C"/>
    <w:rsid w:val="00FB56B9"/>
    <w:rsid w:val="00FB5926"/>
    <w:rsid w:val="00FB59F4"/>
    <w:rsid w:val="00FB6113"/>
    <w:rsid w:val="00FB61F7"/>
    <w:rsid w:val="00FB623D"/>
    <w:rsid w:val="00FB6E76"/>
    <w:rsid w:val="00FB76D2"/>
    <w:rsid w:val="00FB79BA"/>
    <w:rsid w:val="00FB7CC1"/>
    <w:rsid w:val="00FC03E7"/>
    <w:rsid w:val="00FC13F3"/>
    <w:rsid w:val="00FC16E4"/>
    <w:rsid w:val="00FC1841"/>
    <w:rsid w:val="00FC23EC"/>
    <w:rsid w:val="00FC2F0D"/>
    <w:rsid w:val="00FC378C"/>
    <w:rsid w:val="00FC3EB3"/>
    <w:rsid w:val="00FC4819"/>
    <w:rsid w:val="00FC584D"/>
    <w:rsid w:val="00FC5B0B"/>
    <w:rsid w:val="00FC5B5E"/>
    <w:rsid w:val="00FC6218"/>
    <w:rsid w:val="00FC63C5"/>
    <w:rsid w:val="00FC64BB"/>
    <w:rsid w:val="00FC67F8"/>
    <w:rsid w:val="00FC6C02"/>
    <w:rsid w:val="00FC7934"/>
    <w:rsid w:val="00FC7FC0"/>
    <w:rsid w:val="00FD0215"/>
    <w:rsid w:val="00FD0283"/>
    <w:rsid w:val="00FD0455"/>
    <w:rsid w:val="00FD0B77"/>
    <w:rsid w:val="00FD0C37"/>
    <w:rsid w:val="00FD17D9"/>
    <w:rsid w:val="00FD22AA"/>
    <w:rsid w:val="00FD22CB"/>
    <w:rsid w:val="00FD2E1C"/>
    <w:rsid w:val="00FD3457"/>
    <w:rsid w:val="00FD35CB"/>
    <w:rsid w:val="00FD3CF8"/>
    <w:rsid w:val="00FD4208"/>
    <w:rsid w:val="00FD4B51"/>
    <w:rsid w:val="00FD5810"/>
    <w:rsid w:val="00FD596E"/>
    <w:rsid w:val="00FD5E44"/>
    <w:rsid w:val="00FD663D"/>
    <w:rsid w:val="00FD6CA5"/>
    <w:rsid w:val="00FD6F30"/>
    <w:rsid w:val="00FD6FC7"/>
    <w:rsid w:val="00FD72CD"/>
    <w:rsid w:val="00FD7416"/>
    <w:rsid w:val="00FD78BF"/>
    <w:rsid w:val="00FD7D39"/>
    <w:rsid w:val="00FE0326"/>
    <w:rsid w:val="00FE05A7"/>
    <w:rsid w:val="00FE0850"/>
    <w:rsid w:val="00FE0B1C"/>
    <w:rsid w:val="00FE12FB"/>
    <w:rsid w:val="00FE2992"/>
    <w:rsid w:val="00FE2C13"/>
    <w:rsid w:val="00FE332F"/>
    <w:rsid w:val="00FE36FF"/>
    <w:rsid w:val="00FE37DA"/>
    <w:rsid w:val="00FE391A"/>
    <w:rsid w:val="00FE39CE"/>
    <w:rsid w:val="00FE3BF8"/>
    <w:rsid w:val="00FE498E"/>
    <w:rsid w:val="00FE4DDC"/>
    <w:rsid w:val="00FE4FCF"/>
    <w:rsid w:val="00FE5113"/>
    <w:rsid w:val="00FE56B2"/>
    <w:rsid w:val="00FE581B"/>
    <w:rsid w:val="00FE5CC5"/>
    <w:rsid w:val="00FE5CE8"/>
    <w:rsid w:val="00FE627F"/>
    <w:rsid w:val="00FE7050"/>
    <w:rsid w:val="00FE7350"/>
    <w:rsid w:val="00FE7A6F"/>
    <w:rsid w:val="00FE7ABD"/>
    <w:rsid w:val="00FF00A9"/>
    <w:rsid w:val="00FF0118"/>
    <w:rsid w:val="00FF082B"/>
    <w:rsid w:val="00FF0C25"/>
    <w:rsid w:val="00FF0F15"/>
    <w:rsid w:val="00FF12A3"/>
    <w:rsid w:val="00FF15C9"/>
    <w:rsid w:val="00FF1BAC"/>
    <w:rsid w:val="00FF1C02"/>
    <w:rsid w:val="00FF1C22"/>
    <w:rsid w:val="00FF29D8"/>
    <w:rsid w:val="00FF2A7C"/>
    <w:rsid w:val="00FF2D43"/>
    <w:rsid w:val="00FF3022"/>
    <w:rsid w:val="00FF32F3"/>
    <w:rsid w:val="00FF360C"/>
    <w:rsid w:val="00FF371B"/>
    <w:rsid w:val="00FF37BA"/>
    <w:rsid w:val="00FF50DA"/>
    <w:rsid w:val="00FF5704"/>
    <w:rsid w:val="00FF6429"/>
    <w:rsid w:val="00FF668C"/>
    <w:rsid w:val="00FF66FA"/>
    <w:rsid w:val="00FF68E9"/>
    <w:rsid w:val="00FF691A"/>
    <w:rsid w:val="00FF6AB5"/>
    <w:rsid w:val="00FF6C86"/>
    <w:rsid w:val="00FF6DBC"/>
    <w:rsid w:val="00FF6DD7"/>
    <w:rsid w:val="00FF7054"/>
    <w:rsid w:val="00FF7E9A"/>
    <w:rsid w:val="0102F4D4"/>
    <w:rsid w:val="01156AE0"/>
    <w:rsid w:val="0128AF6C"/>
    <w:rsid w:val="013BD660"/>
    <w:rsid w:val="013F1058"/>
    <w:rsid w:val="0142D040"/>
    <w:rsid w:val="01518D0E"/>
    <w:rsid w:val="01564506"/>
    <w:rsid w:val="01A59772"/>
    <w:rsid w:val="01C98E7B"/>
    <w:rsid w:val="01CA41DC"/>
    <w:rsid w:val="01D00F16"/>
    <w:rsid w:val="01DF8855"/>
    <w:rsid w:val="01E08F80"/>
    <w:rsid w:val="01E89580"/>
    <w:rsid w:val="01E8F34E"/>
    <w:rsid w:val="0203F516"/>
    <w:rsid w:val="0210EF2E"/>
    <w:rsid w:val="0223988B"/>
    <w:rsid w:val="0232FFE6"/>
    <w:rsid w:val="026E3B22"/>
    <w:rsid w:val="0282CC63"/>
    <w:rsid w:val="0284DC01"/>
    <w:rsid w:val="029CC454"/>
    <w:rsid w:val="02A88E75"/>
    <w:rsid w:val="02ABAABE"/>
    <w:rsid w:val="02B0278E"/>
    <w:rsid w:val="02D2B478"/>
    <w:rsid w:val="02F0DFBF"/>
    <w:rsid w:val="030CF7E3"/>
    <w:rsid w:val="0310425A"/>
    <w:rsid w:val="03122FBD"/>
    <w:rsid w:val="032523A2"/>
    <w:rsid w:val="03253A54"/>
    <w:rsid w:val="0326944F"/>
    <w:rsid w:val="0326B0D3"/>
    <w:rsid w:val="03384D9E"/>
    <w:rsid w:val="03484148"/>
    <w:rsid w:val="034FC565"/>
    <w:rsid w:val="0353DF89"/>
    <w:rsid w:val="035AFA1D"/>
    <w:rsid w:val="037A7386"/>
    <w:rsid w:val="038D1F92"/>
    <w:rsid w:val="03A342F7"/>
    <w:rsid w:val="03BC6859"/>
    <w:rsid w:val="03D1DC59"/>
    <w:rsid w:val="03D8716B"/>
    <w:rsid w:val="03ED5574"/>
    <w:rsid w:val="03EED44E"/>
    <w:rsid w:val="04081E51"/>
    <w:rsid w:val="040E1859"/>
    <w:rsid w:val="0412E199"/>
    <w:rsid w:val="04261AA2"/>
    <w:rsid w:val="0442F96A"/>
    <w:rsid w:val="047D6C9D"/>
    <w:rsid w:val="048595EF"/>
    <w:rsid w:val="04956E47"/>
    <w:rsid w:val="049805E7"/>
    <w:rsid w:val="049C402D"/>
    <w:rsid w:val="04BC1A44"/>
    <w:rsid w:val="04C21E86"/>
    <w:rsid w:val="04CAEF5F"/>
    <w:rsid w:val="04D60427"/>
    <w:rsid w:val="04DC7B77"/>
    <w:rsid w:val="04E36B77"/>
    <w:rsid w:val="04F8063F"/>
    <w:rsid w:val="04FE1002"/>
    <w:rsid w:val="05201B5B"/>
    <w:rsid w:val="0554C16C"/>
    <w:rsid w:val="0557E79A"/>
    <w:rsid w:val="055BFAC6"/>
    <w:rsid w:val="0586C964"/>
    <w:rsid w:val="058AA4A6"/>
    <w:rsid w:val="05A3E337"/>
    <w:rsid w:val="05A94F79"/>
    <w:rsid w:val="05B0602A"/>
    <w:rsid w:val="05C48BFC"/>
    <w:rsid w:val="05D16073"/>
    <w:rsid w:val="05ECDADB"/>
    <w:rsid w:val="060007C0"/>
    <w:rsid w:val="0603591E"/>
    <w:rsid w:val="06173C0C"/>
    <w:rsid w:val="0617C1A2"/>
    <w:rsid w:val="06324644"/>
    <w:rsid w:val="0640F450"/>
    <w:rsid w:val="064874C0"/>
    <w:rsid w:val="0650FB67"/>
    <w:rsid w:val="066A8566"/>
    <w:rsid w:val="067C13CE"/>
    <w:rsid w:val="067E3693"/>
    <w:rsid w:val="0680A18A"/>
    <w:rsid w:val="06BB4067"/>
    <w:rsid w:val="06C1DBC7"/>
    <w:rsid w:val="06C2BF0C"/>
    <w:rsid w:val="06C664C5"/>
    <w:rsid w:val="06C92BA4"/>
    <w:rsid w:val="06D3F648"/>
    <w:rsid w:val="06DC989D"/>
    <w:rsid w:val="06F43F07"/>
    <w:rsid w:val="06F6C13B"/>
    <w:rsid w:val="06FA6B88"/>
    <w:rsid w:val="06FAED68"/>
    <w:rsid w:val="0722CE78"/>
    <w:rsid w:val="073BF655"/>
    <w:rsid w:val="074741CD"/>
    <w:rsid w:val="0751AE4E"/>
    <w:rsid w:val="0788C5C9"/>
    <w:rsid w:val="079A42D9"/>
    <w:rsid w:val="07B93CE7"/>
    <w:rsid w:val="07B9BD70"/>
    <w:rsid w:val="07BB62E3"/>
    <w:rsid w:val="07E46EC4"/>
    <w:rsid w:val="07F4D407"/>
    <w:rsid w:val="07FF7B4F"/>
    <w:rsid w:val="0827AEE7"/>
    <w:rsid w:val="083B9118"/>
    <w:rsid w:val="08410EF2"/>
    <w:rsid w:val="084E7BC5"/>
    <w:rsid w:val="086009FC"/>
    <w:rsid w:val="0863A509"/>
    <w:rsid w:val="086ED049"/>
    <w:rsid w:val="0879F125"/>
    <w:rsid w:val="088AA771"/>
    <w:rsid w:val="089934BE"/>
    <w:rsid w:val="089E39C1"/>
    <w:rsid w:val="08BCE024"/>
    <w:rsid w:val="08E5FEB2"/>
    <w:rsid w:val="08E89EE3"/>
    <w:rsid w:val="08EB263E"/>
    <w:rsid w:val="08F76CC8"/>
    <w:rsid w:val="0900CD4C"/>
    <w:rsid w:val="09062D8C"/>
    <w:rsid w:val="090BC9A7"/>
    <w:rsid w:val="09139160"/>
    <w:rsid w:val="0916D855"/>
    <w:rsid w:val="0923AB79"/>
    <w:rsid w:val="0933900E"/>
    <w:rsid w:val="0942960B"/>
    <w:rsid w:val="09478199"/>
    <w:rsid w:val="097D17F9"/>
    <w:rsid w:val="0989ABD9"/>
    <w:rsid w:val="0991C565"/>
    <w:rsid w:val="099F438E"/>
    <w:rsid w:val="09A92701"/>
    <w:rsid w:val="09AF366D"/>
    <w:rsid w:val="09AF8BF4"/>
    <w:rsid w:val="09B394F9"/>
    <w:rsid w:val="09BD08F0"/>
    <w:rsid w:val="09C13E3F"/>
    <w:rsid w:val="09CFDFCA"/>
    <w:rsid w:val="09D60667"/>
    <w:rsid w:val="09E70715"/>
    <w:rsid w:val="09FD9F34"/>
    <w:rsid w:val="0A1F408B"/>
    <w:rsid w:val="0A212428"/>
    <w:rsid w:val="0A25DEAA"/>
    <w:rsid w:val="0A3154CB"/>
    <w:rsid w:val="0A337990"/>
    <w:rsid w:val="0A3C4031"/>
    <w:rsid w:val="0A5EDED7"/>
    <w:rsid w:val="0A6B70FA"/>
    <w:rsid w:val="0A7AAB07"/>
    <w:rsid w:val="0A810E92"/>
    <w:rsid w:val="0A81F93D"/>
    <w:rsid w:val="0A828DB0"/>
    <w:rsid w:val="0A8F8976"/>
    <w:rsid w:val="0A98AC3F"/>
    <w:rsid w:val="0AB6CD21"/>
    <w:rsid w:val="0AF222F4"/>
    <w:rsid w:val="0AF9142C"/>
    <w:rsid w:val="0B0EAFE6"/>
    <w:rsid w:val="0B3C8F4A"/>
    <w:rsid w:val="0B4D8970"/>
    <w:rsid w:val="0B637890"/>
    <w:rsid w:val="0B64A95F"/>
    <w:rsid w:val="0B6ABC6D"/>
    <w:rsid w:val="0B96BA74"/>
    <w:rsid w:val="0B98714A"/>
    <w:rsid w:val="0BA468AF"/>
    <w:rsid w:val="0BAC100E"/>
    <w:rsid w:val="0BBD816F"/>
    <w:rsid w:val="0BD4EDE2"/>
    <w:rsid w:val="0BDE7BA0"/>
    <w:rsid w:val="0BF975AD"/>
    <w:rsid w:val="0C1B3473"/>
    <w:rsid w:val="0C2109E5"/>
    <w:rsid w:val="0C41F157"/>
    <w:rsid w:val="0C45178E"/>
    <w:rsid w:val="0C4B722C"/>
    <w:rsid w:val="0C823CEC"/>
    <w:rsid w:val="0C8AB518"/>
    <w:rsid w:val="0C96452A"/>
    <w:rsid w:val="0C990956"/>
    <w:rsid w:val="0CA60877"/>
    <w:rsid w:val="0CAF626B"/>
    <w:rsid w:val="0CB04379"/>
    <w:rsid w:val="0CB303F6"/>
    <w:rsid w:val="0CCF4578"/>
    <w:rsid w:val="0CCFF97C"/>
    <w:rsid w:val="0CD2BFC3"/>
    <w:rsid w:val="0CD529C6"/>
    <w:rsid w:val="0CD97EC3"/>
    <w:rsid w:val="0CEBF6D1"/>
    <w:rsid w:val="0CF2EAEA"/>
    <w:rsid w:val="0D06DEE8"/>
    <w:rsid w:val="0D3E9D78"/>
    <w:rsid w:val="0D4789F9"/>
    <w:rsid w:val="0D6F82EC"/>
    <w:rsid w:val="0D73E9CE"/>
    <w:rsid w:val="0D791D52"/>
    <w:rsid w:val="0D826B37"/>
    <w:rsid w:val="0D85F733"/>
    <w:rsid w:val="0D9B40A2"/>
    <w:rsid w:val="0DBCE8B3"/>
    <w:rsid w:val="0DC4DA70"/>
    <w:rsid w:val="0DCE250A"/>
    <w:rsid w:val="0DE4C075"/>
    <w:rsid w:val="0DE505D0"/>
    <w:rsid w:val="0DF2304E"/>
    <w:rsid w:val="0E0305CC"/>
    <w:rsid w:val="0E0340FE"/>
    <w:rsid w:val="0E129F56"/>
    <w:rsid w:val="0E144604"/>
    <w:rsid w:val="0E3EB8A0"/>
    <w:rsid w:val="0E5AE447"/>
    <w:rsid w:val="0E5E4632"/>
    <w:rsid w:val="0E876A42"/>
    <w:rsid w:val="0E87EF55"/>
    <w:rsid w:val="0E8A0DFA"/>
    <w:rsid w:val="0E8D7830"/>
    <w:rsid w:val="0E8DEF67"/>
    <w:rsid w:val="0E8F552D"/>
    <w:rsid w:val="0EBFD9C2"/>
    <w:rsid w:val="0EC5B861"/>
    <w:rsid w:val="0ED0C493"/>
    <w:rsid w:val="0ED8084F"/>
    <w:rsid w:val="0EE547C2"/>
    <w:rsid w:val="0EE61B39"/>
    <w:rsid w:val="0EF4A9B5"/>
    <w:rsid w:val="0F03E168"/>
    <w:rsid w:val="0F16F918"/>
    <w:rsid w:val="0F1D0A8F"/>
    <w:rsid w:val="0F315283"/>
    <w:rsid w:val="0F3CDEFB"/>
    <w:rsid w:val="0F479B35"/>
    <w:rsid w:val="0F568C31"/>
    <w:rsid w:val="0F5FC2DD"/>
    <w:rsid w:val="0F7EE802"/>
    <w:rsid w:val="0F821F8F"/>
    <w:rsid w:val="0F8578C4"/>
    <w:rsid w:val="0F925C29"/>
    <w:rsid w:val="0FD2E380"/>
    <w:rsid w:val="0FF40AE0"/>
    <w:rsid w:val="0FF6BAAB"/>
    <w:rsid w:val="0FF9226E"/>
    <w:rsid w:val="10256C47"/>
    <w:rsid w:val="102FF8E6"/>
    <w:rsid w:val="1038ABA7"/>
    <w:rsid w:val="103D34A9"/>
    <w:rsid w:val="104E770F"/>
    <w:rsid w:val="10519002"/>
    <w:rsid w:val="10539BE7"/>
    <w:rsid w:val="1061739F"/>
    <w:rsid w:val="107DE4BD"/>
    <w:rsid w:val="10940078"/>
    <w:rsid w:val="1096ABD7"/>
    <w:rsid w:val="10C2DE92"/>
    <w:rsid w:val="10C93212"/>
    <w:rsid w:val="10CE1414"/>
    <w:rsid w:val="10D3D6A4"/>
    <w:rsid w:val="10DE84CA"/>
    <w:rsid w:val="10E50AE6"/>
    <w:rsid w:val="10F25DDD"/>
    <w:rsid w:val="1107ACA6"/>
    <w:rsid w:val="11117DA0"/>
    <w:rsid w:val="1111A422"/>
    <w:rsid w:val="112C9241"/>
    <w:rsid w:val="11392256"/>
    <w:rsid w:val="113F567B"/>
    <w:rsid w:val="116C5F58"/>
    <w:rsid w:val="116FE80B"/>
    <w:rsid w:val="1177E2C7"/>
    <w:rsid w:val="1177F996"/>
    <w:rsid w:val="118AD381"/>
    <w:rsid w:val="11956A51"/>
    <w:rsid w:val="11CC3EC6"/>
    <w:rsid w:val="122EE35E"/>
    <w:rsid w:val="1253472E"/>
    <w:rsid w:val="1258A3C4"/>
    <w:rsid w:val="12665D17"/>
    <w:rsid w:val="12710CDE"/>
    <w:rsid w:val="12760C6F"/>
    <w:rsid w:val="12BF995F"/>
    <w:rsid w:val="12D68AD8"/>
    <w:rsid w:val="12E4EA4C"/>
    <w:rsid w:val="12EFDA85"/>
    <w:rsid w:val="132A53D4"/>
    <w:rsid w:val="133D5F8D"/>
    <w:rsid w:val="135BD8A7"/>
    <w:rsid w:val="136B17D6"/>
    <w:rsid w:val="136B3B99"/>
    <w:rsid w:val="137118B6"/>
    <w:rsid w:val="137158C8"/>
    <w:rsid w:val="137B9BD7"/>
    <w:rsid w:val="138A61EF"/>
    <w:rsid w:val="138BBAE5"/>
    <w:rsid w:val="139D390B"/>
    <w:rsid w:val="13C2F1AB"/>
    <w:rsid w:val="13ECC9E2"/>
    <w:rsid w:val="13EF5051"/>
    <w:rsid w:val="13F1CCE4"/>
    <w:rsid w:val="13F8292A"/>
    <w:rsid w:val="13FBBB96"/>
    <w:rsid w:val="13FEF1B8"/>
    <w:rsid w:val="14337E2E"/>
    <w:rsid w:val="143FCD88"/>
    <w:rsid w:val="14530191"/>
    <w:rsid w:val="14769BF6"/>
    <w:rsid w:val="14999D10"/>
    <w:rsid w:val="14B20C92"/>
    <w:rsid w:val="14BFE7CA"/>
    <w:rsid w:val="14CE9F90"/>
    <w:rsid w:val="14D94297"/>
    <w:rsid w:val="14DCA01E"/>
    <w:rsid w:val="14E1605B"/>
    <w:rsid w:val="14FB6F30"/>
    <w:rsid w:val="150216C6"/>
    <w:rsid w:val="151068B8"/>
    <w:rsid w:val="151B7207"/>
    <w:rsid w:val="151B7568"/>
    <w:rsid w:val="1521F1E5"/>
    <w:rsid w:val="153DF949"/>
    <w:rsid w:val="15611AB3"/>
    <w:rsid w:val="156B40DD"/>
    <w:rsid w:val="1581899F"/>
    <w:rsid w:val="1589160F"/>
    <w:rsid w:val="159F0384"/>
    <w:rsid w:val="15C21DDC"/>
    <w:rsid w:val="15C66014"/>
    <w:rsid w:val="15CA13DF"/>
    <w:rsid w:val="15DA8345"/>
    <w:rsid w:val="15DD30D5"/>
    <w:rsid w:val="15E62B82"/>
    <w:rsid w:val="15E7582D"/>
    <w:rsid w:val="15EC6452"/>
    <w:rsid w:val="15F0A412"/>
    <w:rsid w:val="15FD0EF0"/>
    <w:rsid w:val="15FFD190"/>
    <w:rsid w:val="160F802B"/>
    <w:rsid w:val="16447607"/>
    <w:rsid w:val="164E0369"/>
    <w:rsid w:val="1661D153"/>
    <w:rsid w:val="1663D76E"/>
    <w:rsid w:val="166F88B9"/>
    <w:rsid w:val="16803276"/>
    <w:rsid w:val="168AD254"/>
    <w:rsid w:val="168FF8F0"/>
    <w:rsid w:val="16947C00"/>
    <w:rsid w:val="169BD925"/>
    <w:rsid w:val="16B0763B"/>
    <w:rsid w:val="16B16E15"/>
    <w:rsid w:val="16B408E9"/>
    <w:rsid w:val="16D07600"/>
    <w:rsid w:val="16D6E555"/>
    <w:rsid w:val="16D86D78"/>
    <w:rsid w:val="16DCF987"/>
    <w:rsid w:val="16DD1CED"/>
    <w:rsid w:val="16E1D031"/>
    <w:rsid w:val="16F328FC"/>
    <w:rsid w:val="170AA174"/>
    <w:rsid w:val="1710F81E"/>
    <w:rsid w:val="171ECA65"/>
    <w:rsid w:val="171F25D3"/>
    <w:rsid w:val="1726124C"/>
    <w:rsid w:val="173FF6F5"/>
    <w:rsid w:val="174B03F1"/>
    <w:rsid w:val="17530218"/>
    <w:rsid w:val="175B0F43"/>
    <w:rsid w:val="175E4229"/>
    <w:rsid w:val="17671F74"/>
    <w:rsid w:val="177A1888"/>
    <w:rsid w:val="178AD0D6"/>
    <w:rsid w:val="178D96DB"/>
    <w:rsid w:val="1797DDB4"/>
    <w:rsid w:val="1798C135"/>
    <w:rsid w:val="17E45128"/>
    <w:rsid w:val="17EB9A6E"/>
    <w:rsid w:val="17EF72EF"/>
    <w:rsid w:val="17F2DA47"/>
    <w:rsid w:val="17F87EA1"/>
    <w:rsid w:val="17FFD4E6"/>
    <w:rsid w:val="18093BD3"/>
    <w:rsid w:val="18174524"/>
    <w:rsid w:val="181CB11A"/>
    <w:rsid w:val="18253734"/>
    <w:rsid w:val="182C3D98"/>
    <w:rsid w:val="183D74EB"/>
    <w:rsid w:val="1859ACB9"/>
    <w:rsid w:val="18715757"/>
    <w:rsid w:val="188528FE"/>
    <w:rsid w:val="18914D57"/>
    <w:rsid w:val="1892B102"/>
    <w:rsid w:val="1893BF04"/>
    <w:rsid w:val="18A4460A"/>
    <w:rsid w:val="18A7D0DD"/>
    <w:rsid w:val="18C1B612"/>
    <w:rsid w:val="18CC69C6"/>
    <w:rsid w:val="18F5A846"/>
    <w:rsid w:val="18FE5365"/>
    <w:rsid w:val="1900D55E"/>
    <w:rsid w:val="19171118"/>
    <w:rsid w:val="192ADFA4"/>
    <w:rsid w:val="192E2918"/>
    <w:rsid w:val="19329EBA"/>
    <w:rsid w:val="193CA5DC"/>
    <w:rsid w:val="1946DDB1"/>
    <w:rsid w:val="195A63E0"/>
    <w:rsid w:val="19669892"/>
    <w:rsid w:val="196D831F"/>
    <w:rsid w:val="198AC697"/>
    <w:rsid w:val="19905CB8"/>
    <w:rsid w:val="1995E386"/>
    <w:rsid w:val="1996D41A"/>
    <w:rsid w:val="19B64599"/>
    <w:rsid w:val="19CAAD8A"/>
    <w:rsid w:val="19CB61AD"/>
    <w:rsid w:val="19E6BA6C"/>
    <w:rsid w:val="19FB232D"/>
    <w:rsid w:val="1A059F11"/>
    <w:rsid w:val="1A07669D"/>
    <w:rsid w:val="1A1B6047"/>
    <w:rsid w:val="1A257E04"/>
    <w:rsid w:val="1A2B7DBE"/>
    <w:rsid w:val="1A41DE29"/>
    <w:rsid w:val="1A4FE5F4"/>
    <w:rsid w:val="1A656338"/>
    <w:rsid w:val="1A81B674"/>
    <w:rsid w:val="1A954401"/>
    <w:rsid w:val="1AA05D46"/>
    <w:rsid w:val="1AA195DD"/>
    <w:rsid w:val="1AA27791"/>
    <w:rsid w:val="1AB6560D"/>
    <w:rsid w:val="1AB6FB79"/>
    <w:rsid w:val="1ABF60D1"/>
    <w:rsid w:val="1ABFAAB3"/>
    <w:rsid w:val="1AC108F5"/>
    <w:rsid w:val="1AD07AE9"/>
    <w:rsid w:val="1AD5291D"/>
    <w:rsid w:val="1ADBB48A"/>
    <w:rsid w:val="1B2755F4"/>
    <w:rsid w:val="1B2A0144"/>
    <w:rsid w:val="1B3562E9"/>
    <w:rsid w:val="1B36A267"/>
    <w:rsid w:val="1B43C728"/>
    <w:rsid w:val="1B47A8AE"/>
    <w:rsid w:val="1B5F1343"/>
    <w:rsid w:val="1B5F5F84"/>
    <w:rsid w:val="1B65BA11"/>
    <w:rsid w:val="1B6F6298"/>
    <w:rsid w:val="1B7BA8CB"/>
    <w:rsid w:val="1B90F225"/>
    <w:rsid w:val="1B917E3B"/>
    <w:rsid w:val="1B96479E"/>
    <w:rsid w:val="1BA102D1"/>
    <w:rsid w:val="1BCA4DCE"/>
    <w:rsid w:val="1BDC4078"/>
    <w:rsid w:val="1BE87576"/>
    <w:rsid w:val="1BFD52DB"/>
    <w:rsid w:val="1C1B1518"/>
    <w:rsid w:val="1C278BD8"/>
    <w:rsid w:val="1C353B03"/>
    <w:rsid w:val="1C4E2462"/>
    <w:rsid w:val="1C59E0A2"/>
    <w:rsid w:val="1C786386"/>
    <w:rsid w:val="1C7AF287"/>
    <w:rsid w:val="1C7CE74F"/>
    <w:rsid w:val="1C7E0E3B"/>
    <w:rsid w:val="1C80C748"/>
    <w:rsid w:val="1C9C4D98"/>
    <w:rsid w:val="1CA296ED"/>
    <w:rsid w:val="1CA74B0E"/>
    <w:rsid w:val="1CB6BAB6"/>
    <w:rsid w:val="1CBE8429"/>
    <w:rsid w:val="1CD86DD0"/>
    <w:rsid w:val="1CDB493E"/>
    <w:rsid w:val="1CE08315"/>
    <w:rsid w:val="1CE3CF4F"/>
    <w:rsid w:val="1CFF0F6F"/>
    <w:rsid w:val="1D5DADCD"/>
    <w:rsid w:val="1D60D806"/>
    <w:rsid w:val="1D6DB820"/>
    <w:rsid w:val="1D6DB9EF"/>
    <w:rsid w:val="1D792238"/>
    <w:rsid w:val="1D8662FC"/>
    <w:rsid w:val="1D8D1CE0"/>
    <w:rsid w:val="1DB69B4C"/>
    <w:rsid w:val="1DFA6692"/>
    <w:rsid w:val="1E0DE0B4"/>
    <w:rsid w:val="1E3447B3"/>
    <w:rsid w:val="1E396721"/>
    <w:rsid w:val="1E403386"/>
    <w:rsid w:val="1E469ACE"/>
    <w:rsid w:val="1E495F71"/>
    <w:rsid w:val="1E4E2BD5"/>
    <w:rsid w:val="1E8C499C"/>
    <w:rsid w:val="1E8F317E"/>
    <w:rsid w:val="1E8F743D"/>
    <w:rsid w:val="1E8F92B8"/>
    <w:rsid w:val="1EDA083F"/>
    <w:rsid w:val="1F12C2C6"/>
    <w:rsid w:val="1F1896C8"/>
    <w:rsid w:val="1F352BB1"/>
    <w:rsid w:val="1F6D1356"/>
    <w:rsid w:val="1F85DEE0"/>
    <w:rsid w:val="1F887044"/>
    <w:rsid w:val="1F898ADE"/>
    <w:rsid w:val="1F97C057"/>
    <w:rsid w:val="1F9D47AB"/>
    <w:rsid w:val="1FAEF54B"/>
    <w:rsid w:val="1FB47530"/>
    <w:rsid w:val="1FB8FE38"/>
    <w:rsid w:val="1FD94FBE"/>
    <w:rsid w:val="1FDBCA98"/>
    <w:rsid w:val="1FDC1DDF"/>
    <w:rsid w:val="1FE51E12"/>
    <w:rsid w:val="1FE79C30"/>
    <w:rsid w:val="2013531D"/>
    <w:rsid w:val="20239943"/>
    <w:rsid w:val="20418248"/>
    <w:rsid w:val="20516862"/>
    <w:rsid w:val="205AC577"/>
    <w:rsid w:val="2071D7AD"/>
    <w:rsid w:val="207B81ED"/>
    <w:rsid w:val="2093227C"/>
    <w:rsid w:val="209FF3FE"/>
    <w:rsid w:val="20A743ED"/>
    <w:rsid w:val="20AFCBE7"/>
    <w:rsid w:val="20B49F8A"/>
    <w:rsid w:val="20BF41B8"/>
    <w:rsid w:val="20C73D43"/>
    <w:rsid w:val="20DB9E84"/>
    <w:rsid w:val="21063080"/>
    <w:rsid w:val="21261DAD"/>
    <w:rsid w:val="21359A1E"/>
    <w:rsid w:val="213CCFE2"/>
    <w:rsid w:val="2147ED5C"/>
    <w:rsid w:val="215ABFA8"/>
    <w:rsid w:val="2162CD1C"/>
    <w:rsid w:val="217F39F6"/>
    <w:rsid w:val="21899FDE"/>
    <w:rsid w:val="219D070D"/>
    <w:rsid w:val="21BA3A90"/>
    <w:rsid w:val="21BF9735"/>
    <w:rsid w:val="21CC5F39"/>
    <w:rsid w:val="21FB1552"/>
    <w:rsid w:val="22067E9E"/>
    <w:rsid w:val="226BF5A0"/>
    <w:rsid w:val="2272DD37"/>
    <w:rsid w:val="2284FD53"/>
    <w:rsid w:val="22851749"/>
    <w:rsid w:val="228948A9"/>
    <w:rsid w:val="229020C0"/>
    <w:rsid w:val="229620F2"/>
    <w:rsid w:val="22B1ED0B"/>
    <w:rsid w:val="22B77737"/>
    <w:rsid w:val="22D0E5D2"/>
    <w:rsid w:val="22E3C1DB"/>
    <w:rsid w:val="22EF6D93"/>
    <w:rsid w:val="23100785"/>
    <w:rsid w:val="2311DE8E"/>
    <w:rsid w:val="232273D7"/>
    <w:rsid w:val="232E6849"/>
    <w:rsid w:val="233B1215"/>
    <w:rsid w:val="2341ED29"/>
    <w:rsid w:val="23495ECB"/>
    <w:rsid w:val="2360008A"/>
    <w:rsid w:val="236B9B50"/>
    <w:rsid w:val="237E5FCE"/>
    <w:rsid w:val="237F95B6"/>
    <w:rsid w:val="238E08AF"/>
    <w:rsid w:val="2398DAB3"/>
    <w:rsid w:val="23AD7D63"/>
    <w:rsid w:val="23AFBB25"/>
    <w:rsid w:val="23C9A2E3"/>
    <w:rsid w:val="23D0D18D"/>
    <w:rsid w:val="23D71B02"/>
    <w:rsid w:val="23F3F681"/>
    <w:rsid w:val="23F54BFC"/>
    <w:rsid w:val="240EBB4A"/>
    <w:rsid w:val="240ED8CB"/>
    <w:rsid w:val="2427C67A"/>
    <w:rsid w:val="2457B5B3"/>
    <w:rsid w:val="245CAE02"/>
    <w:rsid w:val="246FB7EC"/>
    <w:rsid w:val="247E65DD"/>
    <w:rsid w:val="24C21929"/>
    <w:rsid w:val="24C7F6D1"/>
    <w:rsid w:val="24D4866B"/>
    <w:rsid w:val="24DA2A33"/>
    <w:rsid w:val="24DBE449"/>
    <w:rsid w:val="24DED7B4"/>
    <w:rsid w:val="250B89D8"/>
    <w:rsid w:val="250C2BE5"/>
    <w:rsid w:val="250EE507"/>
    <w:rsid w:val="25156DB7"/>
    <w:rsid w:val="2516CF4C"/>
    <w:rsid w:val="252D8AA3"/>
    <w:rsid w:val="253340BF"/>
    <w:rsid w:val="255BCB9D"/>
    <w:rsid w:val="255E17C0"/>
    <w:rsid w:val="25799F95"/>
    <w:rsid w:val="257AD412"/>
    <w:rsid w:val="2587A947"/>
    <w:rsid w:val="25934FEC"/>
    <w:rsid w:val="25A86747"/>
    <w:rsid w:val="25CDC6EB"/>
    <w:rsid w:val="25EF2E11"/>
    <w:rsid w:val="25FC4945"/>
    <w:rsid w:val="26002959"/>
    <w:rsid w:val="260485F8"/>
    <w:rsid w:val="261342BA"/>
    <w:rsid w:val="261B432C"/>
    <w:rsid w:val="262517A2"/>
    <w:rsid w:val="2627FBC6"/>
    <w:rsid w:val="262991A8"/>
    <w:rsid w:val="263C4A48"/>
    <w:rsid w:val="2657B8F7"/>
    <w:rsid w:val="265D09AC"/>
    <w:rsid w:val="26723CD4"/>
    <w:rsid w:val="26837A89"/>
    <w:rsid w:val="26939145"/>
    <w:rsid w:val="26949B0A"/>
    <w:rsid w:val="26968913"/>
    <w:rsid w:val="26A01AA2"/>
    <w:rsid w:val="26A10CA5"/>
    <w:rsid w:val="26A2FC6D"/>
    <w:rsid w:val="26AF52B1"/>
    <w:rsid w:val="26E259BF"/>
    <w:rsid w:val="26E84B42"/>
    <w:rsid w:val="26F73568"/>
    <w:rsid w:val="27069883"/>
    <w:rsid w:val="271815F1"/>
    <w:rsid w:val="27228B7C"/>
    <w:rsid w:val="2729877B"/>
    <w:rsid w:val="272B80D8"/>
    <w:rsid w:val="276A461C"/>
    <w:rsid w:val="2783C911"/>
    <w:rsid w:val="2792AEB7"/>
    <w:rsid w:val="27B6D86C"/>
    <w:rsid w:val="27C02BF7"/>
    <w:rsid w:val="27CEB8DB"/>
    <w:rsid w:val="27DBA496"/>
    <w:rsid w:val="27DBE9CB"/>
    <w:rsid w:val="27DC80A8"/>
    <w:rsid w:val="27DFAFB9"/>
    <w:rsid w:val="27F25F23"/>
    <w:rsid w:val="27FE3313"/>
    <w:rsid w:val="2800C392"/>
    <w:rsid w:val="281333F4"/>
    <w:rsid w:val="283C319A"/>
    <w:rsid w:val="28544F5B"/>
    <w:rsid w:val="286F4B21"/>
    <w:rsid w:val="2880BA45"/>
    <w:rsid w:val="28A08DC2"/>
    <w:rsid w:val="28B7A6C0"/>
    <w:rsid w:val="28C2A3AD"/>
    <w:rsid w:val="28CD7D77"/>
    <w:rsid w:val="28D0A8FF"/>
    <w:rsid w:val="28DAEFF3"/>
    <w:rsid w:val="28FB4399"/>
    <w:rsid w:val="28FF905B"/>
    <w:rsid w:val="290B6193"/>
    <w:rsid w:val="2925C637"/>
    <w:rsid w:val="292BD6FA"/>
    <w:rsid w:val="29413AC2"/>
    <w:rsid w:val="29671148"/>
    <w:rsid w:val="297C3121"/>
    <w:rsid w:val="2994EA79"/>
    <w:rsid w:val="29959931"/>
    <w:rsid w:val="29D7118A"/>
    <w:rsid w:val="29DA35F7"/>
    <w:rsid w:val="29E04284"/>
    <w:rsid w:val="29F3A441"/>
    <w:rsid w:val="2A02816A"/>
    <w:rsid w:val="2A12257D"/>
    <w:rsid w:val="2A15F4BC"/>
    <w:rsid w:val="2A161A6F"/>
    <w:rsid w:val="2A1BA371"/>
    <w:rsid w:val="2A2CD0AD"/>
    <w:rsid w:val="2A2E412A"/>
    <w:rsid w:val="2A452C07"/>
    <w:rsid w:val="2A4C0602"/>
    <w:rsid w:val="2A66CE56"/>
    <w:rsid w:val="2A88FDD8"/>
    <w:rsid w:val="2A8F27FB"/>
    <w:rsid w:val="2A973D04"/>
    <w:rsid w:val="2AB0A42A"/>
    <w:rsid w:val="2AC303F4"/>
    <w:rsid w:val="2B0F5E7C"/>
    <w:rsid w:val="2B1EAF83"/>
    <w:rsid w:val="2B458DBD"/>
    <w:rsid w:val="2B638BC8"/>
    <w:rsid w:val="2B660781"/>
    <w:rsid w:val="2B8A84F6"/>
    <w:rsid w:val="2BB2AB01"/>
    <w:rsid w:val="2BC4D46D"/>
    <w:rsid w:val="2BC7CFD7"/>
    <w:rsid w:val="2BDB96DD"/>
    <w:rsid w:val="2BF9A973"/>
    <w:rsid w:val="2C06CD6E"/>
    <w:rsid w:val="2C09B5BE"/>
    <w:rsid w:val="2C121505"/>
    <w:rsid w:val="2C12AA91"/>
    <w:rsid w:val="2C149930"/>
    <w:rsid w:val="2C1F76A4"/>
    <w:rsid w:val="2C21C26B"/>
    <w:rsid w:val="2C276F20"/>
    <w:rsid w:val="2C3B76C9"/>
    <w:rsid w:val="2C58BB1F"/>
    <w:rsid w:val="2C683EDD"/>
    <w:rsid w:val="2C8FB849"/>
    <w:rsid w:val="2CDA257A"/>
    <w:rsid w:val="2D291E1C"/>
    <w:rsid w:val="2D3BE578"/>
    <w:rsid w:val="2D4D2068"/>
    <w:rsid w:val="2D4F7352"/>
    <w:rsid w:val="2D62E7E7"/>
    <w:rsid w:val="2D6DFFCF"/>
    <w:rsid w:val="2D73DF8F"/>
    <w:rsid w:val="2D7E7ABF"/>
    <w:rsid w:val="2D93B059"/>
    <w:rsid w:val="2DB3CFEA"/>
    <w:rsid w:val="2DB85935"/>
    <w:rsid w:val="2DBBC0CA"/>
    <w:rsid w:val="2DCE5A70"/>
    <w:rsid w:val="2DD0D4DA"/>
    <w:rsid w:val="2DF9C73F"/>
    <w:rsid w:val="2E25CF4B"/>
    <w:rsid w:val="2E31B028"/>
    <w:rsid w:val="2E362EAA"/>
    <w:rsid w:val="2E39CF65"/>
    <w:rsid w:val="2E4085CC"/>
    <w:rsid w:val="2E662DB8"/>
    <w:rsid w:val="2E6CF798"/>
    <w:rsid w:val="2E6D10A9"/>
    <w:rsid w:val="2E76F229"/>
    <w:rsid w:val="2E8710A8"/>
    <w:rsid w:val="2E902BCB"/>
    <w:rsid w:val="2E914F84"/>
    <w:rsid w:val="2EAD966E"/>
    <w:rsid w:val="2EAE6766"/>
    <w:rsid w:val="2EBB3C91"/>
    <w:rsid w:val="2EC7249E"/>
    <w:rsid w:val="2EE56E7A"/>
    <w:rsid w:val="2EF27904"/>
    <w:rsid w:val="2EFA9E24"/>
    <w:rsid w:val="2EFBE7BE"/>
    <w:rsid w:val="2F07923D"/>
    <w:rsid w:val="2F07A68B"/>
    <w:rsid w:val="2F2A1527"/>
    <w:rsid w:val="2F2B236A"/>
    <w:rsid w:val="2F2C9894"/>
    <w:rsid w:val="2F3EC351"/>
    <w:rsid w:val="2F52B07C"/>
    <w:rsid w:val="2F53BCBB"/>
    <w:rsid w:val="2F59CF36"/>
    <w:rsid w:val="2F6267C2"/>
    <w:rsid w:val="2F794C55"/>
    <w:rsid w:val="2F88B500"/>
    <w:rsid w:val="2FA34432"/>
    <w:rsid w:val="2FA786E2"/>
    <w:rsid w:val="2FC1336E"/>
    <w:rsid w:val="2FDA0F29"/>
    <w:rsid w:val="2FDBC256"/>
    <w:rsid w:val="2FE19AD1"/>
    <w:rsid w:val="2FEBC542"/>
    <w:rsid w:val="2FF30DFD"/>
    <w:rsid w:val="30022A22"/>
    <w:rsid w:val="300491C4"/>
    <w:rsid w:val="30164173"/>
    <w:rsid w:val="302795DA"/>
    <w:rsid w:val="302F5D90"/>
    <w:rsid w:val="303E7902"/>
    <w:rsid w:val="3049CB46"/>
    <w:rsid w:val="304F2EB3"/>
    <w:rsid w:val="30651841"/>
    <w:rsid w:val="306CD405"/>
    <w:rsid w:val="30728D89"/>
    <w:rsid w:val="307A5E71"/>
    <w:rsid w:val="3088935E"/>
    <w:rsid w:val="30C44160"/>
    <w:rsid w:val="30D2F914"/>
    <w:rsid w:val="30D8C9F6"/>
    <w:rsid w:val="30E2FBE9"/>
    <w:rsid w:val="30F18438"/>
    <w:rsid w:val="311207E0"/>
    <w:rsid w:val="313E0032"/>
    <w:rsid w:val="31417876"/>
    <w:rsid w:val="3157301B"/>
    <w:rsid w:val="31597574"/>
    <w:rsid w:val="315A1FE0"/>
    <w:rsid w:val="3165D695"/>
    <w:rsid w:val="31AB2EAC"/>
    <w:rsid w:val="31ECB237"/>
    <w:rsid w:val="31ED30F0"/>
    <w:rsid w:val="31F83E25"/>
    <w:rsid w:val="3203C1C2"/>
    <w:rsid w:val="321A1FA9"/>
    <w:rsid w:val="32295B1C"/>
    <w:rsid w:val="3236456C"/>
    <w:rsid w:val="323903A8"/>
    <w:rsid w:val="3241C438"/>
    <w:rsid w:val="3251DAF4"/>
    <w:rsid w:val="328206A4"/>
    <w:rsid w:val="32A02380"/>
    <w:rsid w:val="32A62EB3"/>
    <w:rsid w:val="32A92E93"/>
    <w:rsid w:val="32C429EA"/>
    <w:rsid w:val="32C5DBCC"/>
    <w:rsid w:val="32EECDBC"/>
    <w:rsid w:val="32F0A719"/>
    <w:rsid w:val="3314CA4A"/>
    <w:rsid w:val="33211D85"/>
    <w:rsid w:val="332AFBB9"/>
    <w:rsid w:val="3331A8F0"/>
    <w:rsid w:val="333F580A"/>
    <w:rsid w:val="33687885"/>
    <w:rsid w:val="3373C85F"/>
    <w:rsid w:val="3386DA32"/>
    <w:rsid w:val="3392CB5C"/>
    <w:rsid w:val="33A8410F"/>
    <w:rsid w:val="33DE37B4"/>
    <w:rsid w:val="33E54582"/>
    <w:rsid w:val="33F92018"/>
    <w:rsid w:val="33FE1679"/>
    <w:rsid w:val="341FE521"/>
    <w:rsid w:val="34353A39"/>
    <w:rsid w:val="343A54EB"/>
    <w:rsid w:val="34508999"/>
    <w:rsid w:val="34517701"/>
    <w:rsid w:val="34724265"/>
    <w:rsid w:val="3475460D"/>
    <w:rsid w:val="34817C15"/>
    <w:rsid w:val="348C36A9"/>
    <w:rsid w:val="349DADD7"/>
    <w:rsid w:val="349FD601"/>
    <w:rsid w:val="34A0A2DA"/>
    <w:rsid w:val="34A0A6B3"/>
    <w:rsid w:val="34C3497C"/>
    <w:rsid w:val="34C51EC7"/>
    <w:rsid w:val="34DC4899"/>
    <w:rsid w:val="34ED1109"/>
    <w:rsid w:val="35177B8F"/>
    <w:rsid w:val="353C4487"/>
    <w:rsid w:val="3573E516"/>
    <w:rsid w:val="35C7FF42"/>
    <w:rsid w:val="35D8483D"/>
    <w:rsid w:val="35D99F4D"/>
    <w:rsid w:val="3611D71B"/>
    <w:rsid w:val="3623D33B"/>
    <w:rsid w:val="362844F5"/>
    <w:rsid w:val="363E9A67"/>
    <w:rsid w:val="36475BEA"/>
    <w:rsid w:val="365BCA1A"/>
    <w:rsid w:val="3660D144"/>
    <w:rsid w:val="366B92A6"/>
    <w:rsid w:val="368202B6"/>
    <w:rsid w:val="3691DD7D"/>
    <w:rsid w:val="36944332"/>
    <w:rsid w:val="36A68683"/>
    <w:rsid w:val="36A9CEC5"/>
    <w:rsid w:val="36AF0541"/>
    <w:rsid w:val="36C11F7E"/>
    <w:rsid w:val="36D3E4AF"/>
    <w:rsid w:val="36D56138"/>
    <w:rsid w:val="370D4F41"/>
    <w:rsid w:val="37122B06"/>
    <w:rsid w:val="3713346E"/>
    <w:rsid w:val="37558932"/>
    <w:rsid w:val="37732A8F"/>
    <w:rsid w:val="37766D34"/>
    <w:rsid w:val="3776ABBC"/>
    <w:rsid w:val="3776E5C7"/>
    <w:rsid w:val="379E06B1"/>
    <w:rsid w:val="379E1AB8"/>
    <w:rsid w:val="37A7308D"/>
    <w:rsid w:val="37B11506"/>
    <w:rsid w:val="37BF0861"/>
    <w:rsid w:val="37C513F9"/>
    <w:rsid w:val="37F02D96"/>
    <w:rsid w:val="37F22AB6"/>
    <w:rsid w:val="37F5EC84"/>
    <w:rsid w:val="38028343"/>
    <w:rsid w:val="380E1CD0"/>
    <w:rsid w:val="381F9869"/>
    <w:rsid w:val="38322240"/>
    <w:rsid w:val="38365ABF"/>
    <w:rsid w:val="384E3106"/>
    <w:rsid w:val="385075EE"/>
    <w:rsid w:val="3858590E"/>
    <w:rsid w:val="386145AF"/>
    <w:rsid w:val="3872B27C"/>
    <w:rsid w:val="387F211A"/>
    <w:rsid w:val="388B4C11"/>
    <w:rsid w:val="389F5FDE"/>
    <w:rsid w:val="38A7DE79"/>
    <w:rsid w:val="38BA9455"/>
    <w:rsid w:val="38BC5681"/>
    <w:rsid w:val="38CC71D9"/>
    <w:rsid w:val="38CDCC98"/>
    <w:rsid w:val="38DCD004"/>
    <w:rsid w:val="38F0317E"/>
    <w:rsid w:val="38F2CC5E"/>
    <w:rsid w:val="38F91043"/>
    <w:rsid w:val="3903B69F"/>
    <w:rsid w:val="3922931A"/>
    <w:rsid w:val="3929796A"/>
    <w:rsid w:val="395E7239"/>
    <w:rsid w:val="396E1244"/>
    <w:rsid w:val="397550EA"/>
    <w:rsid w:val="399E5685"/>
    <w:rsid w:val="39B5EC06"/>
    <w:rsid w:val="39C0415A"/>
    <w:rsid w:val="39CE8A97"/>
    <w:rsid w:val="39D3FDAD"/>
    <w:rsid w:val="39E30930"/>
    <w:rsid w:val="39F7BB4D"/>
    <w:rsid w:val="39FB738A"/>
    <w:rsid w:val="39FFE2A3"/>
    <w:rsid w:val="3A155279"/>
    <w:rsid w:val="3A1AD4C3"/>
    <w:rsid w:val="3A223684"/>
    <w:rsid w:val="3A2729AF"/>
    <w:rsid w:val="3A28E082"/>
    <w:rsid w:val="3A2B5C19"/>
    <w:rsid w:val="3A2FBC85"/>
    <w:rsid w:val="3A363B23"/>
    <w:rsid w:val="3A566F64"/>
    <w:rsid w:val="3A6299E8"/>
    <w:rsid w:val="3A7D270D"/>
    <w:rsid w:val="3A879422"/>
    <w:rsid w:val="3A905F9C"/>
    <w:rsid w:val="3A93B168"/>
    <w:rsid w:val="3AE24A6B"/>
    <w:rsid w:val="3B0D1B7F"/>
    <w:rsid w:val="3B27D9F1"/>
    <w:rsid w:val="3B3319DB"/>
    <w:rsid w:val="3B475608"/>
    <w:rsid w:val="3B59B02F"/>
    <w:rsid w:val="3B59C23E"/>
    <w:rsid w:val="3B63D4D6"/>
    <w:rsid w:val="3B73EFFB"/>
    <w:rsid w:val="3B819C20"/>
    <w:rsid w:val="3B8D97D0"/>
    <w:rsid w:val="3B93024A"/>
    <w:rsid w:val="3BAEB637"/>
    <w:rsid w:val="3BC55438"/>
    <w:rsid w:val="3BEFC974"/>
    <w:rsid w:val="3BF6738A"/>
    <w:rsid w:val="3BFF9E58"/>
    <w:rsid w:val="3C15B8C4"/>
    <w:rsid w:val="3C15F769"/>
    <w:rsid w:val="3C1A1A6B"/>
    <w:rsid w:val="3C2BB053"/>
    <w:rsid w:val="3C2F5A6A"/>
    <w:rsid w:val="3C37DD47"/>
    <w:rsid w:val="3C3A58DE"/>
    <w:rsid w:val="3C44E830"/>
    <w:rsid w:val="3C56ABC4"/>
    <w:rsid w:val="3C5ECFE0"/>
    <w:rsid w:val="3C8502C8"/>
    <w:rsid w:val="3CA2D42E"/>
    <w:rsid w:val="3CAC63C2"/>
    <w:rsid w:val="3CBD43A3"/>
    <w:rsid w:val="3D0BF2E3"/>
    <w:rsid w:val="3D1545F0"/>
    <w:rsid w:val="3D3057AD"/>
    <w:rsid w:val="3D4718D9"/>
    <w:rsid w:val="3D52CA7F"/>
    <w:rsid w:val="3D56B888"/>
    <w:rsid w:val="3D6C09F1"/>
    <w:rsid w:val="3D724A57"/>
    <w:rsid w:val="3D86E964"/>
    <w:rsid w:val="3DD70DAA"/>
    <w:rsid w:val="3DE90C9C"/>
    <w:rsid w:val="3DF9362D"/>
    <w:rsid w:val="3E1207EA"/>
    <w:rsid w:val="3E2065AD"/>
    <w:rsid w:val="3E22D2EE"/>
    <w:rsid w:val="3E274CA8"/>
    <w:rsid w:val="3E3C0A9B"/>
    <w:rsid w:val="3E522E5B"/>
    <w:rsid w:val="3E7B069C"/>
    <w:rsid w:val="3E8FBAB9"/>
    <w:rsid w:val="3E984F50"/>
    <w:rsid w:val="3EA187C3"/>
    <w:rsid w:val="3EA9950A"/>
    <w:rsid w:val="3EAF097F"/>
    <w:rsid w:val="3EB61DA3"/>
    <w:rsid w:val="3ED4976A"/>
    <w:rsid w:val="3EDBE4BB"/>
    <w:rsid w:val="3EE244C3"/>
    <w:rsid w:val="3EE4126D"/>
    <w:rsid w:val="3F071A15"/>
    <w:rsid w:val="3F0BEDE7"/>
    <w:rsid w:val="3F1E52B2"/>
    <w:rsid w:val="3F224D74"/>
    <w:rsid w:val="3F393463"/>
    <w:rsid w:val="3F6C4BD5"/>
    <w:rsid w:val="3F7D0CF6"/>
    <w:rsid w:val="3FACA3E2"/>
    <w:rsid w:val="3FB38138"/>
    <w:rsid w:val="3FD18A09"/>
    <w:rsid w:val="3FD58760"/>
    <w:rsid w:val="3FE10137"/>
    <w:rsid w:val="4003C8AB"/>
    <w:rsid w:val="4039B6CA"/>
    <w:rsid w:val="404A3E13"/>
    <w:rsid w:val="4071BEE2"/>
    <w:rsid w:val="40804518"/>
    <w:rsid w:val="408FBA60"/>
    <w:rsid w:val="4090DD96"/>
    <w:rsid w:val="4092D24E"/>
    <w:rsid w:val="409933B0"/>
    <w:rsid w:val="40A59B7B"/>
    <w:rsid w:val="40B2DEE3"/>
    <w:rsid w:val="40BC0330"/>
    <w:rsid w:val="40BF8204"/>
    <w:rsid w:val="40C245E0"/>
    <w:rsid w:val="40C41061"/>
    <w:rsid w:val="40F7BEC9"/>
    <w:rsid w:val="410078EF"/>
    <w:rsid w:val="41024A07"/>
    <w:rsid w:val="410FF05D"/>
    <w:rsid w:val="4121323D"/>
    <w:rsid w:val="41279A8A"/>
    <w:rsid w:val="412FED9E"/>
    <w:rsid w:val="41403E51"/>
    <w:rsid w:val="414E7193"/>
    <w:rsid w:val="41578DAB"/>
    <w:rsid w:val="41661DA5"/>
    <w:rsid w:val="41674F87"/>
    <w:rsid w:val="416E43FD"/>
    <w:rsid w:val="417A1A79"/>
    <w:rsid w:val="4184EFF5"/>
    <w:rsid w:val="41850620"/>
    <w:rsid w:val="41AD7536"/>
    <w:rsid w:val="41B8E41F"/>
    <w:rsid w:val="41C0A847"/>
    <w:rsid w:val="41E0505B"/>
    <w:rsid w:val="41E44626"/>
    <w:rsid w:val="41FA352D"/>
    <w:rsid w:val="41FFB1E3"/>
    <w:rsid w:val="420DA434"/>
    <w:rsid w:val="421826B9"/>
    <w:rsid w:val="422219B8"/>
    <w:rsid w:val="42563C4C"/>
    <w:rsid w:val="42584589"/>
    <w:rsid w:val="425E8704"/>
    <w:rsid w:val="4262862D"/>
    <w:rsid w:val="4265873B"/>
    <w:rsid w:val="42804E1D"/>
    <w:rsid w:val="428164BF"/>
    <w:rsid w:val="42852CF1"/>
    <w:rsid w:val="428AB0CE"/>
    <w:rsid w:val="42A244CE"/>
    <w:rsid w:val="42D030DB"/>
    <w:rsid w:val="42DED270"/>
    <w:rsid w:val="42E0E385"/>
    <w:rsid w:val="42F84A5A"/>
    <w:rsid w:val="42FE1425"/>
    <w:rsid w:val="43172BB9"/>
    <w:rsid w:val="43224028"/>
    <w:rsid w:val="432B7EB0"/>
    <w:rsid w:val="433B1090"/>
    <w:rsid w:val="435D6209"/>
    <w:rsid w:val="4366C85D"/>
    <w:rsid w:val="4393A6DE"/>
    <w:rsid w:val="439C7281"/>
    <w:rsid w:val="43A058CC"/>
    <w:rsid w:val="43DBF637"/>
    <w:rsid w:val="43E143F8"/>
    <w:rsid w:val="43E8838B"/>
    <w:rsid w:val="43FE94BF"/>
    <w:rsid w:val="44047091"/>
    <w:rsid w:val="44180ACE"/>
    <w:rsid w:val="441C4ED6"/>
    <w:rsid w:val="44238F52"/>
    <w:rsid w:val="442DDA73"/>
    <w:rsid w:val="4456F39B"/>
    <w:rsid w:val="445AA2EA"/>
    <w:rsid w:val="4460FDB1"/>
    <w:rsid w:val="4463D717"/>
    <w:rsid w:val="447BF1EF"/>
    <w:rsid w:val="4490F8D4"/>
    <w:rsid w:val="44961A34"/>
    <w:rsid w:val="449EE2A7"/>
    <w:rsid w:val="44A5C0AA"/>
    <w:rsid w:val="44B86CF1"/>
    <w:rsid w:val="44D070CF"/>
    <w:rsid w:val="44D4B76A"/>
    <w:rsid w:val="44D9B24D"/>
    <w:rsid w:val="44E4F133"/>
    <w:rsid w:val="45170976"/>
    <w:rsid w:val="452B7A59"/>
    <w:rsid w:val="4544DA23"/>
    <w:rsid w:val="454F80B2"/>
    <w:rsid w:val="455452D8"/>
    <w:rsid w:val="4555F88E"/>
    <w:rsid w:val="4561FC8E"/>
    <w:rsid w:val="456260EB"/>
    <w:rsid w:val="4571F407"/>
    <w:rsid w:val="4573E0CD"/>
    <w:rsid w:val="4575934D"/>
    <w:rsid w:val="4594D6A1"/>
    <w:rsid w:val="45998C4F"/>
    <w:rsid w:val="459E1D3A"/>
    <w:rsid w:val="45A698A6"/>
    <w:rsid w:val="45B9A7E8"/>
    <w:rsid w:val="45DBE843"/>
    <w:rsid w:val="45E24356"/>
    <w:rsid w:val="45E2D0DB"/>
    <w:rsid w:val="45E90B3E"/>
    <w:rsid w:val="45EB0CE8"/>
    <w:rsid w:val="45EF0AD3"/>
    <w:rsid w:val="45F2E885"/>
    <w:rsid w:val="462048F5"/>
    <w:rsid w:val="46276D00"/>
    <w:rsid w:val="463C01BB"/>
    <w:rsid w:val="464959FA"/>
    <w:rsid w:val="465958A6"/>
    <w:rsid w:val="4668FDCF"/>
    <w:rsid w:val="466EFA08"/>
    <w:rsid w:val="468697D1"/>
    <w:rsid w:val="468ABC9F"/>
    <w:rsid w:val="468D0C7E"/>
    <w:rsid w:val="46A5C563"/>
    <w:rsid w:val="46A77FEA"/>
    <w:rsid w:val="46A7AF8A"/>
    <w:rsid w:val="46B09783"/>
    <w:rsid w:val="46CD6E7D"/>
    <w:rsid w:val="46E051BC"/>
    <w:rsid w:val="46E66D94"/>
    <w:rsid w:val="46EE1F6F"/>
    <w:rsid w:val="470F53A7"/>
    <w:rsid w:val="4733EEE4"/>
    <w:rsid w:val="473A51DA"/>
    <w:rsid w:val="474DD91A"/>
    <w:rsid w:val="475064ED"/>
    <w:rsid w:val="4761DB8D"/>
    <w:rsid w:val="47638EE6"/>
    <w:rsid w:val="476D61D3"/>
    <w:rsid w:val="47AE96D5"/>
    <w:rsid w:val="47B9593F"/>
    <w:rsid w:val="47C46472"/>
    <w:rsid w:val="47D04C80"/>
    <w:rsid w:val="47D39BA8"/>
    <w:rsid w:val="47F5DFEF"/>
    <w:rsid w:val="47FC9584"/>
    <w:rsid w:val="4803109B"/>
    <w:rsid w:val="4817C052"/>
    <w:rsid w:val="483D4975"/>
    <w:rsid w:val="48635B93"/>
    <w:rsid w:val="486D407F"/>
    <w:rsid w:val="4875C2DC"/>
    <w:rsid w:val="48806048"/>
    <w:rsid w:val="48874186"/>
    <w:rsid w:val="48986E8E"/>
    <w:rsid w:val="48D31B0B"/>
    <w:rsid w:val="48E442C4"/>
    <w:rsid w:val="48EF393E"/>
    <w:rsid w:val="48FE5B2A"/>
    <w:rsid w:val="49017729"/>
    <w:rsid w:val="490B6724"/>
    <w:rsid w:val="49256A87"/>
    <w:rsid w:val="492DB391"/>
    <w:rsid w:val="49537A95"/>
    <w:rsid w:val="49560DB0"/>
    <w:rsid w:val="49637D6B"/>
    <w:rsid w:val="496CB492"/>
    <w:rsid w:val="498CD278"/>
    <w:rsid w:val="499648F3"/>
    <w:rsid w:val="49A182D3"/>
    <w:rsid w:val="49C75412"/>
    <w:rsid w:val="49CE1150"/>
    <w:rsid w:val="49D06F9D"/>
    <w:rsid w:val="49D5C6D8"/>
    <w:rsid w:val="49E3150A"/>
    <w:rsid w:val="49E80643"/>
    <w:rsid w:val="49F2519D"/>
    <w:rsid w:val="4A0CE5AD"/>
    <w:rsid w:val="4A1CF960"/>
    <w:rsid w:val="4A1D3760"/>
    <w:rsid w:val="4A3BAF4C"/>
    <w:rsid w:val="4A40B5CF"/>
    <w:rsid w:val="4A4F6A92"/>
    <w:rsid w:val="4A57FFE6"/>
    <w:rsid w:val="4A848516"/>
    <w:rsid w:val="4A8A9D5D"/>
    <w:rsid w:val="4A8BEFBF"/>
    <w:rsid w:val="4AA79609"/>
    <w:rsid w:val="4AB45264"/>
    <w:rsid w:val="4AB6C54E"/>
    <w:rsid w:val="4AC4F022"/>
    <w:rsid w:val="4B11FCAE"/>
    <w:rsid w:val="4B149C38"/>
    <w:rsid w:val="4B228BE4"/>
    <w:rsid w:val="4B2C988A"/>
    <w:rsid w:val="4B4208D0"/>
    <w:rsid w:val="4B4BC308"/>
    <w:rsid w:val="4B504508"/>
    <w:rsid w:val="4B59601A"/>
    <w:rsid w:val="4B63D2E2"/>
    <w:rsid w:val="4B6C6547"/>
    <w:rsid w:val="4B6F9512"/>
    <w:rsid w:val="4B70A91D"/>
    <w:rsid w:val="4B939AD4"/>
    <w:rsid w:val="4BB3829D"/>
    <w:rsid w:val="4BB3E8A8"/>
    <w:rsid w:val="4BB44A0C"/>
    <w:rsid w:val="4BB7C1DF"/>
    <w:rsid w:val="4BB845FB"/>
    <w:rsid w:val="4BC19540"/>
    <w:rsid w:val="4BD29E36"/>
    <w:rsid w:val="4BD8283F"/>
    <w:rsid w:val="4BEACC3C"/>
    <w:rsid w:val="4C0CCD1D"/>
    <w:rsid w:val="4C1E6114"/>
    <w:rsid w:val="4C27C945"/>
    <w:rsid w:val="4C2D7CE4"/>
    <w:rsid w:val="4C30F079"/>
    <w:rsid w:val="4C3CD9A1"/>
    <w:rsid w:val="4C4971EC"/>
    <w:rsid w:val="4C54BB52"/>
    <w:rsid w:val="4C660189"/>
    <w:rsid w:val="4C7E6D8D"/>
    <w:rsid w:val="4C869FE6"/>
    <w:rsid w:val="4C8AB483"/>
    <w:rsid w:val="4C8EB419"/>
    <w:rsid w:val="4CB4B8C4"/>
    <w:rsid w:val="4CB8A329"/>
    <w:rsid w:val="4CBE7570"/>
    <w:rsid w:val="4CC10FE9"/>
    <w:rsid w:val="4CD26381"/>
    <w:rsid w:val="4CD358E6"/>
    <w:rsid w:val="4CD5457C"/>
    <w:rsid w:val="4CDA937B"/>
    <w:rsid w:val="4CECE85D"/>
    <w:rsid w:val="4CF88D52"/>
    <w:rsid w:val="4D17A388"/>
    <w:rsid w:val="4D2572F3"/>
    <w:rsid w:val="4D2F4894"/>
    <w:rsid w:val="4D53FB99"/>
    <w:rsid w:val="4D6F70E4"/>
    <w:rsid w:val="4D7AE98B"/>
    <w:rsid w:val="4D82FC7E"/>
    <w:rsid w:val="4DA0B38C"/>
    <w:rsid w:val="4DA681F1"/>
    <w:rsid w:val="4DC390A3"/>
    <w:rsid w:val="4DE1CB88"/>
    <w:rsid w:val="4DFD35E1"/>
    <w:rsid w:val="4E0BEE62"/>
    <w:rsid w:val="4E15EFBD"/>
    <w:rsid w:val="4E270D50"/>
    <w:rsid w:val="4E3B6641"/>
    <w:rsid w:val="4E44554E"/>
    <w:rsid w:val="4E4F55EB"/>
    <w:rsid w:val="4E5258FF"/>
    <w:rsid w:val="4E76B365"/>
    <w:rsid w:val="4E7A14A7"/>
    <w:rsid w:val="4E91C04F"/>
    <w:rsid w:val="4E924ABC"/>
    <w:rsid w:val="4E985CEE"/>
    <w:rsid w:val="4ED716E5"/>
    <w:rsid w:val="4ED84EDD"/>
    <w:rsid w:val="4EDA7376"/>
    <w:rsid w:val="4EFA8864"/>
    <w:rsid w:val="4EFAD64A"/>
    <w:rsid w:val="4F022E2E"/>
    <w:rsid w:val="4F0B26CF"/>
    <w:rsid w:val="4F2C5EDE"/>
    <w:rsid w:val="4F31FBF1"/>
    <w:rsid w:val="4F37328F"/>
    <w:rsid w:val="4F3FA136"/>
    <w:rsid w:val="4F536597"/>
    <w:rsid w:val="4F63A613"/>
    <w:rsid w:val="4F645C04"/>
    <w:rsid w:val="4F6EA429"/>
    <w:rsid w:val="4F6FF839"/>
    <w:rsid w:val="4F84EEDA"/>
    <w:rsid w:val="4F8F8374"/>
    <w:rsid w:val="4FA2D677"/>
    <w:rsid w:val="4FAD4CC7"/>
    <w:rsid w:val="4FB92810"/>
    <w:rsid w:val="4FC49611"/>
    <w:rsid w:val="4FC4CC2B"/>
    <w:rsid w:val="4FC80537"/>
    <w:rsid w:val="4FCB4D4A"/>
    <w:rsid w:val="4FD29D8A"/>
    <w:rsid w:val="4FD4DF4B"/>
    <w:rsid w:val="4FE3BC5C"/>
    <w:rsid w:val="4FE83A50"/>
    <w:rsid w:val="4FEC714A"/>
    <w:rsid w:val="501B95F6"/>
    <w:rsid w:val="50357034"/>
    <w:rsid w:val="5058AC85"/>
    <w:rsid w:val="507020A2"/>
    <w:rsid w:val="50722788"/>
    <w:rsid w:val="5074FB20"/>
    <w:rsid w:val="5086AD05"/>
    <w:rsid w:val="50882702"/>
    <w:rsid w:val="5095684D"/>
    <w:rsid w:val="50A32F4E"/>
    <w:rsid w:val="50A6C899"/>
    <w:rsid w:val="50B84CDC"/>
    <w:rsid w:val="50CFE195"/>
    <w:rsid w:val="50DB6BF8"/>
    <w:rsid w:val="50DC0F46"/>
    <w:rsid w:val="50DD4CE5"/>
    <w:rsid w:val="50E10425"/>
    <w:rsid w:val="50EEB90C"/>
    <w:rsid w:val="50EF43ED"/>
    <w:rsid w:val="5126454B"/>
    <w:rsid w:val="51574D2C"/>
    <w:rsid w:val="5174F8D1"/>
    <w:rsid w:val="5177B78A"/>
    <w:rsid w:val="517A24BD"/>
    <w:rsid w:val="51865329"/>
    <w:rsid w:val="51920BF3"/>
    <w:rsid w:val="5198835D"/>
    <w:rsid w:val="51A5A30D"/>
    <w:rsid w:val="51B2BB8C"/>
    <w:rsid w:val="51C367A8"/>
    <w:rsid w:val="51CB51B6"/>
    <w:rsid w:val="51D54241"/>
    <w:rsid w:val="51E4F231"/>
    <w:rsid w:val="51F63F8F"/>
    <w:rsid w:val="52099AB5"/>
    <w:rsid w:val="520CE982"/>
    <w:rsid w:val="521F1C5D"/>
    <w:rsid w:val="5229C1D1"/>
    <w:rsid w:val="5253F20B"/>
    <w:rsid w:val="5266136E"/>
    <w:rsid w:val="52716F71"/>
    <w:rsid w:val="5292061F"/>
    <w:rsid w:val="529527D6"/>
    <w:rsid w:val="529AE46C"/>
    <w:rsid w:val="52C4E667"/>
    <w:rsid w:val="52C8A872"/>
    <w:rsid w:val="52E566D0"/>
    <w:rsid w:val="52E9B4AD"/>
    <w:rsid w:val="52FB4712"/>
    <w:rsid w:val="52FCD0E8"/>
    <w:rsid w:val="531A5CF9"/>
    <w:rsid w:val="5328CD18"/>
    <w:rsid w:val="53330CF5"/>
    <w:rsid w:val="5333180D"/>
    <w:rsid w:val="5335FB5E"/>
    <w:rsid w:val="5341C3C4"/>
    <w:rsid w:val="535EF672"/>
    <w:rsid w:val="537AD768"/>
    <w:rsid w:val="537AD9B6"/>
    <w:rsid w:val="53964095"/>
    <w:rsid w:val="53C565BA"/>
    <w:rsid w:val="53C9FC5F"/>
    <w:rsid w:val="53CA1CCC"/>
    <w:rsid w:val="53D31710"/>
    <w:rsid w:val="540CAB4E"/>
    <w:rsid w:val="540EF6F9"/>
    <w:rsid w:val="547C2D26"/>
    <w:rsid w:val="548B73C5"/>
    <w:rsid w:val="54911225"/>
    <w:rsid w:val="54A69CF8"/>
    <w:rsid w:val="54B5A679"/>
    <w:rsid w:val="54C42DA9"/>
    <w:rsid w:val="54CBABB6"/>
    <w:rsid w:val="54DA8DE4"/>
    <w:rsid w:val="54F3FCB2"/>
    <w:rsid w:val="55022FEB"/>
    <w:rsid w:val="5527B88E"/>
    <w:rsid w:val="5527D904"/>
    <w:rsid w:val="552E2BD9"/>
    <w:rsid w:val="5544AF7A"/>
    <w:rsid w:val="557BE49A"/>
    <w:rsid w:val="5580EDBD"/>
    <w:rsid w:val="559A95E2"/>
    <w:rsid w:val="55A0AFD8"/>
    <w:rsid w:val="55B5E0A7"/>
    <w:rsid w:val="55C6A375"/>
    <w:rsid w:val="55F8E08B"/>
    <w:rsid w:val="56023632"/>
    <w:rsid w:val="56135811"/>
    <w:rsid w:val="562F3F1A"/>
    <w:rsid w:val="56351DBA"/>
    <w:rsid w:val="563ADD45"/>
    <w:rsid w:val="563C768F"/>
    <w:rsid w:val="56595610"/>
    <w:rsid w:val="565C2D18"/>
    <w:rsid w:val="566427D0"/>
    <w:rsid w:val="56692AF4"/>
    <w:rsid w:val="56695BE9"/>
    <w:rsid w:val="566DACD0"/>
    <w:rsid w:val="5699F909"/>
    <w:rsid w:val="56ADE7B1"/>
    <w:rsid w:val="56C7F04C"/>
    <w:rsid w:val="56D37C24"/>
    <w:rsid w:val="56D4E82D"/>
    <w:rsid w:val="56E184DD"/>
    <w:rsid w:val="57075399"/>
    <w:rsid w:val="5725112F"/>
    <w:rsid w:val="5728B9A8"/>
    <w:rsid w:val="5731B710"/>
    <w:rsid w:val="573F4BCD"/>
    <w:rsid w:val="5743110C"/>
    <w:rsid w:val="5745DCA2"/>
    <w:rsid w:val="574E9ACD"/>
    <w:rsid w:val="575B00A5"/>
    <w:rsid w:val="576357BB"/>
    <w:rsid w:val="5785EB40"/>
    <w:rsid w:val="57943078"/>
    <w:rsid w:val="579A9796"/>
    <w:rsid w:val="57AEAA5B"/>
    <w:rsid w:val="57CF2B2F"/>
    <w:rsid w:val="57D6D5B6"/>
    <w:rsid w:val="57EA1C12"/>
    <w:rsid w:val="580513CB"/>
    <w:rsid w:val="583F57D8"/>
    <w:rsid w:val="5854BAD2"/>
    <w:rsid w:val="58556D7E"/>
    <w:rsid w:val="5882109F"/>
    <w:rsid w:val="58886CC5"/>
    <w:rsid w:val="588CC5B5"/>
    <w:rsid w:val="588E2B37"/>
    <w:rsid w:val="58C0419E"/>
    <w:rsid w:val="58C12D0F"/>
    <w:rsid w:val="58C4FC3D"/>
    <w:rsid w:val="58CEC0AE"/>
    <w:rsid w:val="58DBA086"/>
    <w:rsid w:val="58E46665"/>
    <w:rsid w:val="58EDD39D"/>
    <w:rsid w:val="58EFE5AE"/>
    <w:rsid w:val="58F479E9"/>
    <w:rsid w:val="5901EDC7"/>
    <w:rsid w:val="590306C8"/>
    <w:rsid w:val="5905FB21"/>
    <w:rsid w:val="5913E043"/>
    <w:rsid w:val="591EBCE0"/>
    <w:rsid w:val="5930EEC8"/>
    <w:rsid w:val="593230E1"/>
    <w:rsid w:val="59587CBA"/>
    <w:rsid w:val="597B70EA"/>
    <w:rsid w:val="599307D1"/>
    <w:rsid w:val="59C82837"/>
    <w:rsid w:val="59F28E53"/>
    <w:rsid w:val="59F30665"/>
    <w:rsid w:val="59F93453"/>
    <w:rsid w:val="5A05EE55"/>
    <w:rsid w:val="5A2D839D"/>
    <w:rsid w:val="5A3D83E3"/>
    <w:rsid w:val="5A522481"/>
    <w:rsid w:val="5A56CFF8"/>
    <w:rsid w:val="5A5ABF1E"/>
    <w:rsid w:val="5A7D9538"/>
    <w:rsid w:val="5AB22775"/>
    <w:rsid w:val="5AB40D2D"/>
    <w:rsid w:val="5ABAA34D"/>
    <w:rsid w:val="5AC39F23"/>
    <w:rsid w:val="5AC4016F"/>
    <w:rsid w:val="5AD01CE4"/>
    <w:rsid w:val="5AFDA3C4"/>
    <w:rsid w:val="5B14F834"/>
    <w:rsid w:val="5B1693FA"/>
    <w:rsid w:val="5B1D8976"/>
    <w:rsid w:val="5B456637"/>
    <w:rsid w:val="5B4B1C3B"/>
    <w:rsid w:val="5B6B05FB"/>
    <w:rsid w:val="5B71D30E"/>
    <w:rsid w:val="5B7C9B2C"/>
    <w:rsid w:val="5BA44E5B"/>
    <w:rsid w:val="5BBDFF2C"/>
    <w:rsid w:val="5BBEB82C"/>
    <w:rsid w:val="5BC3B77E"/>
    <w:rsid w:val="5BD01258"/>
    <w:rsid w:val="5BD3D4DA"/>
    <w:rsid w:val="5BF1C2C8"/>
    <w:rsid w:val="5C13DCAC"/>
    <w:rsid w:val="5C33814F"/>
    <w:rsid w:val="5C49C712"/>
    <w:rsid w:val="5C5C220A"/>
    <w:rsid w:val="5C73516F"/>
    <w:rsid w:val="5C7B6FB5"/>
    <w:rsid w:val="5C930DEA"/>
    <w:rsid w:val="5C99FE14"/>
    <w:rsid w:val="5C9B5919"/>
    <w:rsid w:val="5C9D70DF"/>
    <w:rsid w:val="5CAE8FEB"/>
    <w:rsid w:val="5CB0CC91"/>
    <w:rsid w:val="5CBAB4A0"/>
    <w:rsid w:val="5CBCA1AD"/>
    <w:rsid w:val="5CCE316F"/>
    <w:rsid w:val="5CCEF05F"/>
    <w:rsid w:val="5CCF8A50"/>
    <w:rsid w:val="5CD3A049"/>
    <w:rsid w:val="5CD56A52"/>
    <w:rsid w:val="5CF564F0"/>
    <w:rsid w:val="5D052BCC"/>
    <w:rsid w:val="5D1180F1"/>
    <w:rsid w:val="5D12AA8E"/>
    <w:rsid w:val="5D17540B"/>
    <w:rsid w:val="5D34A1C6"/>
    <w:rsid w:val="5D486D13"/>
    <w:rsid w:val="5D57D1F2"/>
    <w:rsid w:val="5D6C099B"/>
    <w:rsid w:val="5D6C8768"/>
    <w:rsid w:val="5D6EB9FC"/>
    <w:rsid w:val="5D7148EA"/>
    <w:rsid w:val="5D7C20E3"/>
    <w:rsid w:val="5D98B105"/>
    <w:rsid w:val="5DC42153"/>
    <w:rsid w:val="5DEE1117"/>
    <w:rsid w:val="5DF42AC0"/>
    <w:rsid w:val="5DF8D39D"/>
    <w:rsid w:val="5E010A49"/>
    <w:rsid w:val="5E2615CE"/>
    <w:rsid w:val="5E4F591A"/>
    <w:rsid w:val="5E4FC3B2"/>
    <w:rsid w:val="5E5C31A2"/>
    <w:rsid w:val="5E645D0A"/>
    <w:rsid w:val="5E6C01DE"/>
    <w:rsid w:val="5E81A488"/>
    <w:rsid w:val="5EB307C0"/>
    <w:rsid w:val="5EBEF31F"/>
    <w:rsid w:val="5ED63A95"/>
    <w:rsid w:val="5EED6452"/>
    <w:rsid w:val="5EF37609"/>
    <w:rsid w:val="5F07808B"/>
    <w:rsid w:val="5F159D5D"/>
    <w:rsid w:val="5F2497F1"/>
    <w:rsid w:val="5F2DBFC5"/>
    <w:rsid w:val="5F4C9C00"/>
    <w:rsid w:val="5F5E9B90"/>
    <w:rsid w:val="5F67EF74"/>
    <w:rsid w:val="5F7499C9"/>
    <w:rsid w:val="5FD7E718"/>
    <w:rsid w:val="5FDD6825"/>
    <w:rsid w:val="5FE5C36A"/>
    <w:rsid w:val="6005472F"/>
    <w:rsid w:val="6032E249"/>
    <w:rsid w:val="6053F524"/>
    <w:rsid w:val="6057CBAC"/>
    <w:rsid w:val="60618426"/>
    <w:rsid w:val="6067899F"/>
    <w:rsid w:val="606E1159"/>
    <w:rsid w:val="6079CB53"/>
    <w:rsid w:val="6093C193"/>
    <w:rsid w:val="609B2DE8"/>
    <w:rsid w:val="60AA22F7"/>
    <w:rsid w:val="60AFAFE2"/>
    <w:rsid w:val="60BEAC69"/>
    <w:rsid w:val="60D34888"/>
    <w:rsid w:val="60E42FA2"/>
    <w:rsid w:val="60E95356"/>
    <w:rsid w:val="60EC176F"/>
    <w:rsid w:val="60ED5ACC"/>
    <w:rsid w:val="60F1EA30"/>
    <w:rsid w:val="60FC1CB0"/>
    <w:rsid w:val="6105806B"/>
    <w:rsid w:val="61148E41"/>
    <w:rsid w:val="611AF0B3"/>
    <w:rsid w:val="6121D383"/>
    <w:rsid w:val="6123F32A"/>
    <w:rsid w:val="61250E7E"/>
    <w:rsid w:val="613675AA"/>
    <w:rsid w:val="6137C4B3"/>
    <w:rsid w:val="613C8CA4"/>
    <w:rsid w:val="614DC7ED"/>
    <w:rsid w:val="6156843A"/>
    <w:rsid w:val="61654E6A"/>
    <w:rsid w:val="61658BFF"/>
    <w:rsid w:val="6168B1BE"/>
    <w:rsid w:val="61707931"/>
    <w:rsid w:val="6179DEB7"/>
    <w:rsid w:val="617C8A41"/>
    <w:rsid w:val="6185CAB2"/>
    <w:rsid w:val="6197AFDF"/>
    <w:rsid w:val="61997351"/>
    <w:rsid w:val="619B23BB"/>
    <w:rsid w:val="619F6153"/>
    <w:rsid w:val="61BA2E46"/>
    <w:rsid w:val="61E8595F"/>
    <w:rsid w:val="62047B86"/>
    <w:rsid w:val="6206DC71"/>
    <w:rsid w:val="620C5FFA"/>
    <w:rsid w:val="621D9DB3"/>
    <w:rsid w:val="6233C4BC"/>
    <w:rsid w:val="625303D5"/>
    <w:rsid w:val="625E2828"/>
    <w:rsid w:val="62928644"/>
    <w:rsid w:val="62BB1E2F"/>
    <w:rsid w:val="62DA05AF"/>
    <w:rsid w:val="62E6ED33"/>
    <w:rsid w:val="6305536B"/>
    <w:rsid w:val="6305CEA9"/>
    <w:rsid w:val="634AFE92"/>
    <w:rsid w:val="635C4007"/>
    <w:rsid w:val="63669FE5"/>
    <w:rsid w:val="63686C9B"/>
    <w:rsid w:val="636A5B8B"/>
    <w:rsid w:val="63754B1B"/>
    <w:rsid w:val="6376A829"/>
    <w:rsid w:val="6377883C"/>
    <w:rsid w:val="638BEFC7"/>
    <w:rsid w:val="639766C8"/>
    <w:rsid w:val="639FA283"/>
    <w:rsid w:val="63C0143C"/>
    <w:rsid w:val="63D1579F"/>
    <w:rsid w:val="63DC0D9E"/>
    <w:rsid w:val="63E67288"/>
    <w:rsid w:val="63F64A11"/>
    <w:rsid w:val="63F9DD71"/>
    <w:rsid w:val="6405BB7D"/>
    <w:rsid w:val="64128FAE"/>
    <w:rsid w:val="6414EA58"/>
    <w:rsid w:val="6436CE29"/>
    <w:rsid w:val="64439700"/>
    <w:rsid w:val="6444B20B"/>
    <w:rsid w:val="64678B33"/>
    <w:rsid w:val="648723A4"/>
    <w:rsid w:val="648B1666"/>
    <w:rsid w:val="6494E71D"/>
    <w:rsid w:val="6496ED1D"/>
    <w:rsid w:val="64BC45A1"/>
    <w:rsid w:val="64C8D602"/>
    <w:rsid w:val="64D22431"/>
    <w:rsid w:val="64DDCC99"/>
    <w:rsid w:val="64E78DF2"/>
    <w:rsid w:val="64F6E0A1"/>
    <w:rsid w:val="64F7CA3F"/>
    <w:rsid w:val="64F84AA9"/>
    <w:rsid w:val="64FA545B"/>
    <w:rsid w:val="6515F5CF"/>
    <w:rsid w:val="65251E2F"/>
    <w:rsid w:val="652A2AF5"/>
    <w:rsid w:val="654AFAC7"/>
    <w:rsid w:val="656B7164"/>
    <w:rsid w:val="65886787"/>
    <w:rsid w:val="658EFE7A"/>
    <w:rsid w:val="65944D7B"/>
    <w:rsid w:val="65984A81"/>
    <w:rsid w:val="65B4F3C1"/>
    <w:rsid w:val="65CF88BF"/>
    <w:rsid w:val="65D63599"/>
    <w:rsid w:val="65E46F3D"/>
    <w:rsid w:val="65EC1970"/>
    <w:rsid w:val="65ED2C51"/>
    <w:rsid w:val="66032AC1"/>
    <w:rsid w:val="661E7AA5"/>
    <w:rsid w:val="663C58DF"/>
    <w:rsid w:val="6669E467"/>
    <w:rsid w:val="66759A52"/>
    <w:rsid w:val="66777EAB"/>
    <w:rsid w:val="66877BA2"/>
    <w:rsid w:val="668A3CD6"/>
    <w:rsid w:val="668D36CE"/>
    <w:rsid w:val="668E9D6A"/>
    <w:rsid w:val="66A32952"/>
    <w:rsid w:val="66B281D8"/>
    <w:rsid w:val="66B35085"/>
    <w:rsid w:val="66C28726"/>
    <w:rsid w:val="66C431BC"/>
    <w:rsid w:val="66CBA339"/>
    <w:rsid w:val="66DDEBB8"/>
    <w:rsid w:val="66E2B864"/>
    <w:rsid w:val="66EF4B71"/>
    <w:rsid w:val="6705C943"/>
    <w:rsid w:val="670C3627"/>
    <w:rsid w:val="67227A6D"/>
    <w:rsid w:val="672E96BB"/>
    <w:rsid w:val="6739A2FA"/>
    <w:rsid w:val="674487E7"/>
    <w:rsid w:val="674EF71C"/>
    <w:rsid w:val="675374DD"/>
    <w:rsid w:val="67593E75"/>
    <w:rsid w:val="675A1DE1"/>
    <w:rsid w:val="67649785"/>
    <w:rsid w:val="6783408F"/>
    <w:rsid w:val="67A72EFE"/>
    <w:rsid w:val="67B5319A"/>
    <w:rsid w:val="67CB0C40"/>
    <w:rsid w:val="67CF7F1E"/>
    <w:rsid w:val="67F8A6C5"/>
    <w:rsid w:val="68139158"/>
    <w:rsid w:val="685202FC"/>
    <w:rsid w:val="685A9B90"/>
    <w:rsid w:val="686B800C"/>
    <w:rsid w:val="6876A604"/>
    <w:rsid w:val="6877B8DB"/>
    <w:rsid w:val="68849634"/>
    <w:rsid w:val="688A7FBF"/>
    <w:rsid w:val="688FB33C"/>
    <w:rsid w:val="68A09415"/>
    <w:rsid w:val="68A37C33"/>
    <w:rsid w:val="68C38F81"/>
    <w:rsid w:val="68E807A1"/>
    <w:rsid w:val="690DAD8A"/>
    <w:rsid w:val="691A6763"/>
    <w:rsid w:val="691AFFD9"/>
    <w:rsid w:val="69256392"/>
    <w:rsid w:val="69484C95"/>
    <w:rsid w:val="6974BE78"/>
    <w:rsid w:val="6977B6F5"/>
    <w:rsid w:val="69843A60"/>
    <w:rsid w:val="698975B6"/>
    <w:rsid w:val="69BD96D4"/>
    <w:rsid w:val="69D072F0"/>
    <w:rsid w:val="69EB2632"/>
    <w:rsid w:val="69F77C4C"/>
    <w:rsid w:val="69FA2E95"/>
    <w:rsid w:val="6A0F211E"/>
    <w:rsid w:val="6A1B9723"/>
    <w:rsid w:val="6A2B0572"/>
    <w:rsid w:val="6A58456C"/>
    <w:rsid w:val="6A5CE061"/>
    <w:rsid w:val="6A89BCDD"/>
    <w:rsid w:val="6A96D78F"/>
    <w:rsid w:val="6A9ADA74"/>
    <w:rsid w:val="6A9E7506"/>
    <w:rsid w:val="6AB331FB"/>
    <w:rsid w:val="6AD6B750"/>
    <w:rsid w:val="6AEC4BB4"/>
    <w:rsid w:val="6AF59121"/>
    <w:rsid w:val="6AF8E0A6"/>
    <w:rsid w:val="6B0B5AF3"/>
    <w:rsid w:val="6B2EE83C"/>
    <w:rsid w:val="6B30C067"/>
    <w:rsid w:val="6B3A2EA3"/>
    <w:rsid w:val="6B4AD9DD"/>
    <w:rsid w:val="6B58E7F4"/>
    <w:rsid w:val="6B6C7777"/>
    <w:rsid w:val="6B898D6E"/>
    <w:rsid w:val="6B8E616C"/>
    <w:rsid w:val="6BA35735"/>
    <w:rsid w:val="6BA4273E"/>
    <w:rsid w:val="6BB99EF5"/>
    <w:rsid w:val="6BCB1C01"/>
    <w:rsid w:val="6BEFC32A"/>
    <w:rsid w:val="6BF99211"/>
    <w:rsid w:val="6C083E1A"/>
    <w:rsid w:val="6C0B0FD9"/>
    <w:rsid w:val="6C1E548B"/>
    <w:rsid w:val="6C27F179"/>
    <w:rsid w:val="6C284B7D"/>
    <w:rsid w:val="6C2DDAF8"/>
    <w:rsid w:val="6C353F5B"/>
    <w:rsid w:val="6C3822A8"/>
    <w:rsid w:val="6C403754"/>
    <w:rsid w:val="6C485092"/>
    <w:rsid w:val="6C598406"/>
    <w:rsid w:val="6C6D9F52"/>
    <w:rsid w:val="6C73EE42"/>
    <w:rsid w:val="6C8257A3"/>
    <w:rsid w:val="6CADF1A6"/>
    <w:rsid w:val="6CB00F80"/>
    <w:rsid w:val="6CBB2B4A"/>
    <w:rsid w:val="6CBF1F25"/>
    <w:rsid w:val="6CEAD4B0"/>
    <w:rsid w:val="6CEBB6AE"/>
    <w:rsid w:val="6CF13AAD"/>
    <w:rsid w:val="6CF62BCB"/>
    <w:rsid w:val="6CFDC8FC"/>
    <w:rsid w:val="6D1131B1"/>
    <w:rsid w:val="6D2AE67C"/>
    <w:rsid w:val="6D3FB99A"/>
    <w:rsid w:val="6D4073BE"/>
    <w:rsid w:val="6D41C6B2"/>
    <w:rsid w:val="6D4EF763"/>
    <w:rsid w:val="6D50FAE8"/>
    <w:rsid w:val="6D5845F5"/>
    <w:rsid w:val="6D661ECE"/>
    <w:rsid w:val="6D716982"/>
    <w:rsid w:val="6D72A885"/>
    <w:rsid w:val="6D85F9A7"/>
    <w:rsid w:val="6D8E0942"/>
    <w:rsid w:val="6D9D0820"/>
    <w:rsid w:val="6DA48655"/>
    <w:rsid w:val="6DBE9570"/>
    <w:rsid w:val="6DC2E030"/>
    <w:rsid w:val="6DD5ECF8"/>
    <w:rsid w:val="6DED5C78"/>
    <w:rsid w:val="6DF5F1FC"/>
    <w:rsid w:val="6DF6EB3F"/>
    <w:rsid w:val="6DFD4E8C"/>
    <w:rsid w:val="6E04B23A"/>
    <w:rsid w:val="6E0EE54F"/>
    <w:rsid w:val="6E17DB73"/>
    <w:rsid w:val="6E18ECA3"/>
    <w:rsid w:val="6E29FF4A"/>
    <w:rsid w:val="6E2A832E"/>
    <w:rsid w:val="6E2E306C"/>
    <w:rsid w:val="6E66411A"/>
    <w:rsid w:val="6E68BF12"/>
    <w:rsid w:val="6E8647EC"/>
    <w:rsid w:val="6EC0E2C5"/>
    <w:rsid w:val="6EC5D86D"/>
    <w:rsid w:val="6EC62839"/>
    <w:rsid w:val="6ECC7ED7"/>
    <w:rsid w:val="6EEDE5E4"/>
    <w:rsid w:val="6EF6B8DF"/>
    <w:rsid w:val="6EF81DB7"/>
    <w:rsid w:val="6EF9971D"/>
    <w:rsid w:val="6F2431B2"/>
    <w:rsid w:val="6F567FDD"/>
    <w:rsid w:val="6F6880AC"/>
    <w:rsid w:val="6F68E70C"/>
    <w:rsid w:val="6F71EDBA"/>
    <w:rsid w:val="6F8572A5"/>
    <w:rsid w:val="6F8A83B4"/>
    <w:rsid w:val="6F91C25C"/>
    <w:rsid w:val="6F91D123"/>
    <w:rsid w:val="6F95BEC2"/>
    <w:rsid w:val="6FA47E33"/>
    <w:rsid w:val="6FA66C7B"/>
    <w:rsid w:val="6FA67244"/>
    <w:rsid w:val="6FB95C4D"/>
    <w:rsid w:val="6FC3E730"/>
    <w:rsid w:val="6FDBAB36"/>
    <w:rsid w:val="6FDEE801"/>
    <w:rsid w:val="6FEB3666"/>
    <w:rsid w:val="6FEDD88A"/>
    <w:rsid w:val="6FF78B16"/>
    <w:rsid w:val="700112C9"/>
    <w:rsid w:val="701DB4DA"/>
    <w:rsid w:val="70249144"/>
    <w:rsid w:val="7025B7F5"/>
    <w:rsid w:val="702DEBEC"/>
    <w:rsid w:val="70533203"/>
    <w:rsid w:val="705C18CF"/>
    <w:rsid w:val="70605A94"/>
    <w:rsid w:val="70622AF9"/>
    <w:rsid w:val="7064C0C3"/>
    <w:rsid w:val="706BBF52"/>
    <w:rsid w:val="70722A97"/>
    <w:rsid w:val="707572B0"/>
    <w:rsid w:val="70902012"/>
    <w:rsid w:val="709611D2"/>
    <w:rsid w:val="709E6C64"/>
    <w:rsid w:val="70B0485A"/>
    <w:rsid w:val="70B69747"/>
    <w:rsid w:val="70BDB4C6"/>
    <w:rsid w:val="70EA60ED"/>
    <w:rsid w:val="70EE21A9"/>
    <w:rsid w:val="70F3D5AA"/>
    <w:rsid w:val="7117E4D7"/>
    <w:rsid w:val="713741DF"/>
    <w:rsid w:val="7138118A"/>
    <w:rsid w:val="7150A653"/>
    <w:rsid w:val="715A4C39"/>
    <w:rsid w:val="716C4B89"/>
    <w:rsid w:val="7177F58C"/>
    <w:rsid w:val="7178CE2A"/>
    <w:rsid w:val="717C70DB"/>
    <w:rsid w:val="71911488"/>
    <w:rsid w:val="719AA71E"/>
    <w:rsid w:val="71A276FD"/>
    <w:rsid w:val="71A2ED31"/>
    <w:rsid w:val="71AF2077"/>
    <w:rsid w:val="71B2B897"/>
    <w:rsid w:val="71C34635"/>
    <w:rsid w:val="71F2A5B6"/>
    <w:rsid w:val="71F65AAF"/>
    <w:rsid w:val="721EE22B"/>
    <w:rsid w:val="722E31BA"/>
    <w:rsid w:val="725E23CA"/>
    <w:rsid w:val="727DFD5D"/>
    <w:rsid w:val="728D54F4"/>
    <w:rsid w:val="72936FFC"/>
    <w:rsid w:val="729A30C4"/>
    <w:rsid w:val="72AF24AA"/>
    <w:rsid w:val="72B75E77"/>
    <w:rsid w:val="72C073A3"/>
    <w:rsid w:val="72C817EC"/>
    <w:rsid w:val="72F830DC"/>
    <w:rsid w:val="730740BC"/>
    <w:rsid w:val="7313452F"/>
    <w:rsid w:val="7313FF1A"/>
    <w:rsid w:val="73244D36"/>
    <w:rsid w:val="7329981C"/>
    <w:rsid w:val="732DF2B7"/>
    <w:rsid w:val="732FF389"/>
    <w:rsid w:val="733167BE"/>
    <w:rsid w:val="73656E24"/>
    <w:rsid w:val="736EC372"/>
    <w:rsid w:val="736FC89F"/>
    <w:rsid w:val="737106FC"/>
    <w:rsid w:val="73734800"/>
    <w:rsid w:val="738631AC"/>
    <w:rsid w:val="738E6F6F"/>
    <w:rsid w:val="73948194"/>
    <w:rsid w:val="73BAA1E3"/>
    <w:rsid w:val="73BAB534"/>
    <w:rsid w:val="73BC46C8"/>
    <w:rsid w:val="73C1B56F"/>
    <w:rsid w:val="73D09B13"/>
    <w:rsid w:val="73E9108C"/>
    <w:rsid w:val="73FD3C0A"/>
    <w:rsid w:val="74063C22"/>
    <w:rsid w:val="7412B5E0"/>
    <w:rsid w:val="741E3144"/>
    <w:rsid w:val="743B69F3"/>
    <w:rsid w:val="744125C8"/>
    <w:rsid w:val="744730C9"/>
    <w:rsid w:val="744CE067"/>
    <w:rsid w:val="7479F83C"/>
    <w:rsid w:val="749DCD3A"/>
    <w:rsid w:val="74B1D1BB"/>
    <w:rsid w:val="74E8B40B"/>
    <w:rsid w:val="74FD91F5"/>
    <w:rsid w:val="7502FFB4"/>
    <w:rsid w:val="750ADF8E"/>
    <w:rsid w:val="754B19CE"/>
    <w:rsid w:val="75571543"/>
    <w:rsid w:val="7566FDA5"/>
    <w:rsid w:val="75692199"/>
    <w:rsid w:val="75842C45"/>
    <w:rsid w:val="75853F68"/>
    <w:rsid w:val="75A19555"/>
    <w:rsid w:val="75BE56C4"/>
    <w:rsid w:val="75E9FAA5"/>
    <w:rsid w:val="75ED758F"/>
    <w:rsid w:val="75F0C175"/>
    <w:rsid w:val="76106E40"/>
    <w:rsid w:val="7619A481"/>
    <w:rsid w:val="762680BE"/>
    <w:rsid w:val="7632611E"/>
    <w:rsid w:val="763F33FE"/>
    <w:rsid w:val="7650FFAC"/>
    <w:rsid w:val="7667E1E4"/>
    <w:rsid w:val="767496A6"/>
    <w:rsid w:val="767E1835"/>
    <w:rsid w:val="7695C3A3"/>
    <w:rsid w:val="76A2BEDB"/>
    <w:rsid w:val="76CB2AF1"/>
    <w:rsid w:val="7723B0E5"/>
    <w:rsid w:val="7727BB9C"/>
    <w:rsid w:val="7729EE4F"/>
    <w:rsid w:val="772C6365"/>
    <w:rsid w:val="773E7330"/>
    <w:rsid w:val="7756E06A"/>
    <w:rsid w:val="775CE015"/>
    <w:rsid w:val="77652542"/>
    <w:rsid w:val="77675DE2"/>
    <w:rsid w:val="7779251A"/>
    <w:rsid w:val="77825F0C"/>
    <w:rsid w:val="77AAD10E"/>
    <w:rsid w:val="77AF5C00"/>
    <w:rsid w:val="77C20CB7"/>
    <w:rsid w:val="77D76876"/>
    <w:rsid w:val="77E03FB8"/>
    <w:rsid w:val="77E4CC48"/>
    <w:rsid w:val="77E7E43D"/>
    <w:rsid w:val="77FA6747"/>
    <w:rsid w:val="7813A076"/>
    <w:rsid w:val="7814585E"/>
    <w:rsid w:val="78171597"/>
    <w:rsid w:val="781806B4"/>
    <w:rsid w:val="783564BA"/>
    <w:rsid w:val="785C15CF"/>
    <w:rsid w:val="78933BEA"/>
    <w:rsid w:val="789468DB"/>
    <w:rsid w:val="78A1C4B4"/>
    <w:rsid w:val="78AF5536"/>
    <w:rsid w:val="78F4FD38"/>
    <w:rsid w:val="790EAEC8"/>
    <w:rsid w:val="79114C2E"/>
    <w:rsid w:val="793044D8"/>
    <w:rsid w:val="79373B51"/>
    <w:rsid w:val="7961A767"/>
    <w:rsid w:val="797974C9"/>
    <w:rsid w:val="79908E67"/>
    <w:rsid w:val="79C42EBC"/>
    <w:rsid w:val="79E6CB41"/>
    <w:rsid w:val="79F16574"/>
    <w:rsid w:val="7A13C3A2"/>
    <w:rsid w:val="7A2C8AE8"/>
    <w:rsid w:val="7A2ED620"/>
    <w:rsid w:val="7A35E648"/>
    <w:rsid w:val="7A383D50"/>
    <w:rsid w:val="7A3851B0"/>
    <w:rsid w:val="7A400EB6"/>
    <w:rsid w:val="7A484896"/>
    <w:rsid w:val="7A653DCB"/>
    <w:rsid w:val="7A829410"/>
    <w:rsid w:val="7A8828D7"/>
    <w:rsid w:val="7A8FBB28"/>
    <w:rsid w:val="7A9A9D7E"/>
    <w:rsid w:val="7AA763B5"/>
    <w:rsid w:val="7AC42E18"/>
    <w:rsid w:val="7AD4641F"/>
    <w:rsid w:val="7ADDE00C"/>
    <w:rsid w:val="7AE37BDF"/>
    <w:rsid w:val="7AEA9422"/>
    <w:rsid w:val="7AF85BBC"/>
    <w:rsid w:val="7B0859FC"/>
    <w:rsid w:val="7B0FBBDB"/>
    <w:rsid w:val="7B10A117"/>
    <w:rsid w:val="7B2E39AC"/>
    <w:rsid w:val="7B353726"/>
    <w:rsid w:val="7B367BF6"/>
    <w:rsid w:val="7B3A5D98"/>
    <w:rsid w:val="7B782553"/>
    <w:rsid w:val="7B79E669"/>
    <w:rsid w:val="7B8001EB"/>
    <w:rsid w:val="7B8FC71D"/>
    <w:rsid w:val="7B92B8A7"/>
    <w:rsid w:val="7B965201"/>
    <w:rsid w:val="7BA6C6E4"/>
    <w:rsid w:val="7BD1C42E"/>
    <w:rsid w:val="7BD49B29"/>
    <w:rsid w:val="7BD8FE90"/>
    <w:rsid w:val="7BE0DEB6"/>
    <w:rsid w:val="7BF2E233"/>
    <w:rsid w:val="7BF81672"/>
    <w:rsid w:val="7C1AE820"/>
    <w:rsid w:val="7C2DFF12"/>
    <w:rsid w:val="7C37441C"/>
    <w:rsid w:val="7C517E6E"/>
    <w:rsid w:val="7C524EEC"/>
    <w:rsid w:val="7C8ECE89"/>
    <w:rsid w:val="7CAC50C2"/>
    <w:rsid w:val="7CB38BA2"/>
    <w:rsid w:val="7CDE94D1"/>
    <w:rsid w:val="7CEDE83D"/>
    <w:rsid w:val="7CF23940"/>
    <w:rsid w:val="7CF54493"/>
    <w:rsid w:val="7D1B96A1"/>
    <w:rsid w:val="7D275CFA"/>
    <w:rsid w:val="7D2A8366"/>
    <w:rsid w:val="7D34B318"/>
    <w:rsid w:val="7D6C6B4A"/>
    <w:rsid w:val="7D77039B"/>
    <w:rsid w:val="7D776D21"/>
    <w:rsid w:val="7D85B12A"/>
    <w:rsid w:val="7D9045FF"/>
    <w:rsid w:val="7D983F76"/>
    <w:rsid w:val="7DB7F03C"/>
    <w:rsid w:val="7DC448AD"/>
    <w:rsid w:val="7DD15284"/>
    <w:rsid w:val="7DD2742A"/>
    <w:rsid w:val="7DDBE773"/>
    <w:rsid w:val="7DEF0A8F"/>
    <w:rsid w:val="7DF47676"/>
    <w:rsid w:val="7DFA4512"/>
    <w:rsid w:val="7DFF84EA"/>
    <w:rsid w:val="7E02625C"/>
    <w:rsid w:val="7E15095C"/>
    <w:rsid w:val="7E172D05"/>
    <w:rsid w:val="7E2CD7DB"/>
    <w:rsid w:val="7E2DD4BB"/>
    <w:rsid w:val="7E48CCC2"/>
    <w:rsid w:val="7E55645C"/>
    <w:rsid w:val="7E5EEF7E"/>
    <w:rsid w:val="7E66AE1C"/>
    <w:rsid w:val="7E710736"/>
    <w:rsid w:val="7E771A4C"/>
    <w:rsid w:val="7E825A42"/>
    <w:rsid w:val="7E89FCE0"/>
    <w:rsid w:val="7E92C5B4"/>
    <w:rsid w:val="7EBD1CD5"/>
    <w:rsid w:val="7EBF86D3"/>
    <w:rsid w:val="7ECF8A45"/>
    <w:rsid w:val="7ED05A62"/>
    <w:rsid w:val="7ED535CF"/>
    <w:rsid w:val="7ED78DAD"/>
    <w:rsid w:val="7ED8782F"/>
    <w:rsid w:val="7F03DECB"/>
    <w:rsid w:val="7F185D1A"/>
    <w:rsid w:val="7F2C0381"/>
    <w:rsid w:val="7F426F07"/>
    <w:rsid w:val="7F4A01C3"/>
    <w:rsid w:val="7F4F83F2"/>
    <w:rsid w:val="7F83C111"/>
    <w:rsid w:val="7F84DEE0"/>
    <w:rsid w:val="7FA81EBD"/>
    <w:rsid w:val="7FAD3F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763B4CA0-5598-48F3-9BCD-17B44A82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201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201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201A8"/>
    <w:pPr>
      <w:keepNext/>
      <w:keepLines/>
      <w:spacing w:before="160" w:after="80"/>
      <w:outlineLvl w:val="2"/>
    </w:pPr>
    <w:rPr>
      <w:rFonts w:eastAsiaTheme="majorEastAsia" w:cstheme="majorBidi"/>
      <w:color w:val="2F5496"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a,titulo 3,HOJA,Bolita,Párrafo de lista4,BOLADEF,Párrafo de lista3,Párrafo de lista21,BOLA,Nivel 1 OS,Bullets,Dot pt,List Paragraph Char Char Char,Indicator Text,List Paragraph1,Numbered Para 1,Colorful List - Accent 11,Bullet 1,Guión"/>
    <w:basedOn w:val="Normal"/>
    <w:link w:val="PrrafodelistaCar"/>
    <w:uiPriority w:val="34"/>
    <w:qFormat/>
    <w:rsid w:val="00757B36"/>
    <w:pPr>
      <w:ind w:left="720"/>
      <w:contextualSpacing/>
    </w:pPr>
  </w:style>
  <w:style w:type="paragraph" w:styleId="Textonotapie">
    <w:name w:val="footnote text"/>
    <w:basedOn w:val="Normal"/>
    <w:link w:val="TextonotapieCar"/>
    <w:uiPriority w:val="99"/>
    <w:semiHidden/>
    <w:unhideWhenUsed/>
    <w:rsid w:val="00403B5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03B5B"/>
    <w:rPr>
      <w:sz w:val="20"/>
      <w:szCs w:val="20"/>
    </w:rPr>
  </w:style>
  <w:style w:type="character" w:styleId="Refdenotaalpie">
    <w:name w:val="footnote reference"/>
    <w:basedOn w:val="Fuentedeprrafopredeter"/>
    <w:uiPriority w:val="99"/>
    <w:semiHidden/>
    <w:unhideWhenUsed/>
    <w:rsid w:val="00403B5B"/>
    <w:rPr>
      <w:vertAlign w:val="superscript"/>
    </w:rPr>
  </w:style>
  <w:style w:type="character" w:styleId="Mencinsinresolver">
    <w:name w:val="Unresolved Mention"/>
    <w:basedOn w:val="Fuentedeprrafopredeter"/>
    <w:uiPriority w:val="99"/>
    <w:semiHidden/>
    <w:unhideWhenUsed/>
    <w:rsid w:val="00403B5B"/>
    <w:rPr>
      <w:color w:val="605E5C"/>
      <w:shd w:val="clear" w:color="auto" w:fill="E1DFDD"/>
    </w:rPr>
  </w:style>
  <w:style w:type="table" w:styleId="Tablaconcuadrcula">
    <w:name w:val="Table Grid"/>
    <w:basedOn w:val="Tablanormal"/>
    <w:uiPriority w:val="59"/>
    <w:rsid w:val="00AF482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130E8B"/>
    <w:rPr>
      <w:sz w:val="16"/>
      <w:szCs w:val="16"/>
    </w:rPr>
  </w:style>
  <w:style w:type="paragraph" w:styleId="Textocomentario">
    <w:name w:val="annotation text"/>
    <w:basedOn w:val="Normal"/>
    <w:link w:val="TextocomentarioCar"/>
    <w:uiPriority w:val="99"/>
    <w:unhideWhenUsed/>
    <w:rsid w:val="00130E8B"/>
    <w:pPr>
      <w:spacing w:line="240" w:lineRule="auto"/>
    </w:pPr>
    <w:rPr>
      <w:sz w:val="20"/>
      <w:szCs w:val="20"/>
    </w:rPr>
  </w:style>
  <w:style w:type="character" w:customStyle="1" w:styleId="TextocomentarioCar">
    <w:name w:val="Texto comentario Car"/>
    <w:basedOn w:val="Fuentedeprrafopredeter"/>
    <w:link w:val="Textocomentario"/>
    <w:uiPriority w:val="99"/>
    <w:rsid w:val="00130E8B"/>
    <w:rPr>
      <w:sz w:val="20"/>
      <w:szCs w:val="20"/>
    </w:rPr>
  </w:style>
  <w:style w:type="paragraph" w:styleId="Asuntodelcomentario">
    <w:name w:val="annotation subject"/>
    <w:basedOn w:val="Textocomentario"/>
    <w:next w:val="Textocomentario"/>
    <w:link w:val="AsuntodelcomentarioCar"/>
    <w:uiPriority w:val="99"/>
    <w:semiHidden/>
    <w:unhideWhenUsed/>
    <w:rsid w:val="00130E8B"/>
    <w:rPr>
      <w:b/>
      <w:bCs/>
    </w:rPr>
  </w:style>
  <w:style w:type="character" w:customStyle="1" w:styleId="AsuntodelcomentarioCar">
    <w:name w:val="Asunto del comentario Car"/>
    <w:basedOn w:val="TextocomentarioCar"/>
    <w:link w:val="Asuntodelcomentario"/>
    <w:uiPriority w:val="99"/>
    <w:semiHidden/>
    <w:rsid w:val="00130E8B"/>
    <w:rPr>
      <w:b/>
      <w:bCs/>
      <w:sz w:val="20"/>
      <w:szCs w:val="20"/>
    </w:rPr>
  </w:style>
  <w:style w:type="character" w:styleId="Mencionar">
    <w:name w:val="Mention"/>
    <w:basedOn w:val="Fuentedeprrafopredeter"/>
    <w:uiPriority w:val="99"/>
    <w:unhideWhenUsed/>
    <w:rsid w:val="00130E8B"/>
    <w:rPr>
      <w:color w:val="2B579A"/>
      <w:shd w:val="clear" w:color="auto" w:fill="E1DFDD"/>
    </w:rPr>
  </w:style>
  <w:style w:type="character" w:customStyle="1" w:styleId="Ttulo1Car">
    <w:name w:val="Título 1 Car"/>
    <w:basedOn w:val="Fuentedeprrafopredeter"/>
    <w:link w:val="Ttulo1"/>
    <w:uiPriority w:val="9"/>
    <w:rsid w:val="006201A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201A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201A8"/>
    <w:rPr>
      <w:rFonts w:eastAsiaTheme="majorEastAsia" w:cstheme="majorBidi"/>
      <w:color w:val="2F5496" w:themeColor="accent1" w:themeShade="BF"/>
      <w:sz w:val="28"/>
      <w:szCs w:val="28"/>
    </w:rPr>
  </w:style>
  <w:style w:type="paragraph" w:styleId="NormalWeb">
    <w:name w:val="Normal (Web)"/>
    <w:basedOn w:val="Normal"/>
    <w:uiPriority w:val="99"/>
    <w:semiHidden/>
    <w:unhideWhenUsed/>
    <w:rsid w:val="006201A8"/>
    <w:pPr>
      <w:spacing w:before="100" w:beforeAutospacing="1" w:after="100" w:afterAutospacing="1" w:line="240" w:lineRule="auto"/>
    </w:pPr>
    <w:rPr>
      <w:rFonts w:ascii="Times New Roman" w:eastAsiaTheme="minorEastAsia" w:hAnsi="Times New Roman" w:cs="Times New Roman"/>
      <w:kern w:val="0"/>
      <w:sz w:val="24"/>
      <w:szCs w:val="24"/>
      <w:lang w:eastAsia="es-ES"/>
      <w14:ligatures w14:val="none"/>
    </w:rPr>
  </w:style>
  <w:style w:type="character" w:customStyle="1" w:styleId="apple-converted-space">
    <w:name w:val="apple-converted-space"/>
    <w:basedOn w:val="Fuentedeprrafopredeter"/>
    <w:rsid w:val="006201A8"/>
  </w:style>
  <w:style w:type="character" w:styleId="Fuerte">
    <w:name w:val="Strong"/>
    <w:basedOn w:val="Fuentedeprrafopredeter"/>
    <w:uiPriority w:val="22"/>
    <w:qFormat/>
    <w:rsid w:val="006201A8"/>
    <w:rPr>
      <w:b/>
      <w:bCs/>
    </w:rPr>
  </w:style>
  <w:style w:type="table" w:customStyle="1" w:styleId="Tablaconcuadrcula1">
    <w:name w:val="Tabla con cuadrícula1"/>
    <w:basedOn w:val="Tablanormal"/>
    <w:next w:val="Tablaconcuadrcula"/>
    <w:uiPriority w:val="39"/>
    <w:rsid w:val="008A7AC8"/>
    <w:pPr>
      <w:spacing w:after="0" w:line="240" w:lineRule="auto"/>
    </w:pPr>
    <w:rPr>
      <w:rFonts w:ascii="Calibri" w:eastAsia="Calibri"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Ha Car,titulo 3 Car,HOJA Car,Bolita Car,Párrafo de lista4 Car,BOLADEF Car,Párrafo de lista3 Car,Párrafo de lista21 Car,BOLA Car,Nivel 1 OS Car,Bullets Car,Dot pt Car,List Paragraph Char Char Char Car,Indicator Text Car,Bullet 1 Car"/>
    <w:link w:val="Prrafodelista"/>
    <w:uiPriority w:val="34"/>
    <w:qFormat/>
    <w:locked/>
    <w:rsid w:val="00A17207"/>
  </w:style>
  <w:style w:type="paragraph" w:styleId="Descripcin">
    <w:name w:val="caption"/>
    <w:basedOn w:val="Normal"/>
    <w:next w:val="Normal"/>
    <w:uiPriority w:val="35"/>
    <w:unhideWhenUsed/>
    <w:qFormat/>
    <w:rsid w:val="004877A8"/>
    <w:pPr>
      <w:spacing w:after="200" w:line="240" w:lineRule="auto"/>
    </w:pPr>
    <w:rPr>
      <w:i/>
      <w:iCs/>
      <w:color w:val="44546A" w:themeColor="text2"/>
      <w:sz w:val="18"/>
      <w:szCs w:val="18"/>
    </w:rPr>
  </w:style>
  <w:style w:type="table" w:styleId="Tablaconcuadrcula4-nfasis6">
    <w:name w:val="Grid Table 4 Accent 6"/>
    <w:basedOn w:val="Tablanormal"/>
    <w:uiPriority w:val="49"/>
    <w:rsid w:val="004877A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Revisin">
    <w:name w:val="Revision"/>
    <w:hidden/>
    <w:uiPriority w:val="99"/>
    <w:semiHidden/>
    <w:rsid w:val="007369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450318746">
      <w:bodyDiv w:val="1"/>
      <w:marLeft w:val="0"/>
      <w:marRight w:val="0"/>
      <w:marTop w:val="0"/>
      <w:marBottom w:val="0"/>
      <w:divBdr>
        <w:top w:val="none" w:sz="0" w:space="0" w:color="auto"/>
        <w:left w:val="none" w:sz="0" w:space="0" w:color="auto"/>
        <w:bottom w:val="none" w:sz="0" w:space="0" w:color="auto"/>
        <w:right w:val="none" w:sz="0" w:space="0" w:color="auto"/>
      </w:divBdr>
    </w:div>
    <w:div w:id="797407685">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ada.ca/en/environment-climate-change/services/climate-change/greenhouse-gas-emissions/facility-reporting/reporting.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imate-laws.org/document/national-greenhouse-gas-emissions-reporting-regulations-2016_e4c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b.mx/semarnat" TargetMode="External"/><Relationship Id="rId4" Type="http://schemas.openxmlformats.org/officeDocument/2006/relationships/settings" Target="settings.xml"/><Relationship Id="rId9" Type="http://schemas.openxmlformats.org/officeDocument/2006/relationships/hyperlink" Target="https://www.epa.gov/ghgreportin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E1BDD-8A78-45CC-B6CB-FC10F2BD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8552</Words>
  <Characters>46443</Characters>
  <Application>Microsoft Office Word</Application>
  <DocSecurity>0</DocSecurity>
  <Lines>673</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DIANA HOLGUIN</cp:lastModifiedBy>
  <cp:revision>2</cp:revision>
  <cp:lastPrinted>2025-06-14T15:14:00Z</cp:lastPrinted>
  <dcterms:created xsi:type="dcterms:W3CDTF">2026-07-10T23:33:00Z</dcterms:created>
  <dcterms:modified xsi:type="dcterms:W3CDTF">2026-07-10T23:33:00Z</dcterms:modified>
</cp:coreProperties>
</file>